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79" w:rsidRDefault="00275379" w:rsidP="0027537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5379" w:rsidRDefault="00275379" w:rsidP="0027537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5379" w:rsidRDefault="00275379" w:rsidP="0027537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6703" w:rsidRDefault="00275379" w:rsidP="0027537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75379">
        <w:rPr>
          <w:rFonts w:ascii="Times New Roman" w:hAnsi="Times New Roman" w:cs="Times New Roman"/>
          <w:b/>
          <w:sz w:val="28"/>
          <w:szCs w:val="28"/>
          <w:lang w:val="sr-Cyrl-CS"/>
        </w:rPr>
        <w:t>ЗАВОД ЗА ЗДРАВСТВЕНУ ЗАШТИТУ СТУДЕНАТА НИШ</w:t>
      </w:r>
    </w:p>
    <w:p w:rsidR="00275379" w:rsidRDefault="00275379" w:rsidP="00275379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75379" w:rsidRDefault="00275379" w:rsidP="00275379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75379" w:rsidRDefault="00275379" w:rsidP="0027537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57375" cy="1857375"/>
            <wp:effectExtent l="0" t="0" r="9525" b="9525"/>
            <wp:docPr id="1" name="Picture 1" descr="C:\Documents and Settings\Sociolog\Desktop\direktor skupština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ociolog\Desktop\direktor skupština\logo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79" w:rsidRDefault="00275379" w:rsidP="00275379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A155A" w:rsidRPr="004A155A" w:rsidRDefault="004A155A" w:rsidP="004A155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155A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sr-Cyrl-CS"/>
        </w:rPr>
        <w:t>_____________________________________________________________________</w:t>
      </w:r>
    </w:p>
    <w:p w:rsidR="00473564" w:rsidRDefault="009F55F0" w:rsidP="004A155A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ИЗВЕШТАЈ О РАДУ И ПОСЛОВАЊУ ЗА 2017. ГОДИНУ</w:t>
      </w:r>
      <w:r w:rsidR="002753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4A155A" w:rsidRDefault="00792FE8" w:rsidP="004A155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ЗАВОДА ЗА ЗД</w:t>
      </w:r>
      <w:r w:rsidR="009F55F0">
        <w:rPr>
          <w:rFonts w:ascii="Times New Roman" w:hAnsi="Times New Roman" w:cs="Times New Roman"/>
          <w:b/>
          <w:sz w:val="24"/>
          <w:szCs w:val="24"/>
          <w:lang w:val="sr-Cyrl-CS"/>
        </w:rPr>
        <w:t>РАВСТВЕНУ ЗАШТИТУ СТУДЕНАТА НИШ</w:t>
      </w:r>
    </w:p>
    <w:p w:rsidR="004A155A" w:rsidRPr="004A155A" w:rsidRDefault="004A155A" w:rsidP="004A155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155A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sr-Cyrl-CS"/>
        </w:rPr>
        <w:t>___________________________________________________________________</w:t>
      </w:r>
    </w:p>
    <w:p w:rsidR="004A155A" w:rsidRPr="004A155A" w:rsidRDefault="004A155A" w:rsidP="004A155A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sr-Cyrl-CS"/>
        </w:rPr>
      </w:pPr>
    </w:p>
    <w:p w:rsidR="00275379" w:rsidRDefault="00275379" w:rsidP="0027537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5379" w:rsidRDefault="00275379" w:rsidP="0027537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5379" w:rsidRDefault="00275379" w:rsidP="0027537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5379" w:rsidRDefault="00275379" w:rsidP="0027537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5379" w:rsidRDefault="00275379" w:rsidP="0027537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5379" w:rsidRDefault="00275379" w:rsidP="0052590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Март 2018.</w:t>
      </w:r>
    </w:p>
    <w:p w:rsidR="004664E7" w:rsidRPr="004664E7" w:rsidRDefault="004664E7" w:rsidP="004664E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ОСНОВНЕ ИНФОРМАЦИЈЕ О УСТАНОВИ</w:t>
      </w:r>
    </w:p>
    <w:tbl>
      <w:tblPr>
        <w:tblStyle w:val="TableGrid1"/>
        <w:tblpPr w:leftFromText="180" w:rightFromText="180" w:vertAnchor="page" w:horzAnchor="page" w:tblpX="2137" w:tblpY="2641"/>
        <w:tblW w:w="0" w:type="auto"/>
        <w:tblLook w:val="01E0" w:firstRow="1" w:lastRow="1" w:firstColumn="1" w:lastColumn="1" w:noHBand="0" w:noVBand="0"/>
      </w:tblPr>
      <w:tblGrid>
        <w:gridCol w:w="2268"/>
        <w:gridCol w:w="7338"/>
      </w:tblGrid>
      <w:tr w:rsidR="004664E7" w:rsidRPr="004664E7" w:rsidTr="00473564">
        <w:tc>
          <w:tcPr>
            <w:tcW w:w="2268" w:type="dxa"/>
          </w:tcPr>
          <w:p w:rsidR="004664E7" w:rsidRPr="004664E7" w:rsidRDefault="004664E7" w:rsidP="004664E7">
            <w:pPr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Назив установе</w:t>
            </w:r>
          </w:p>
        </w:tc>
        <w:tc>
          <w:tcPr>
            <w:tcW w:w="7338" w:type="dxa"/>
          </w:tcPr>
          <w:p w:rsidR="004664E7" w:rsidRPr="004664E7" w:rsidRDefault="004664E7" w:rsidP="004664E7">
            <w:pPr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Завод за здравствену заштиту студената Ниш</w:t>
            </w:r>
          </w:p>
        </w:tc>
      </w:tr>
      <w:tr w:rsidR="004664E7" w:rsidRPr="004664E7" w:rsidTr="00473564">
        <w:tc>
          <w:tcPr>
            <w:tcW w:w="2268" w:type="dxa"/>
          </w:tcPr>
          <w:p w:rsidR="004664E7" w:rsidRPr="004664E7" w:rsidRDefault="004664E7" w:rsidP="004664E7">
            <w:pPr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Адреса</w:t>
            </w:r>
          </w:p>
        </w:tc>
        <w:tc>
          <w:tcPr>
            <w:tcW w:w="7338" w:type="dxa"/>
          </w:tcPr>
          <w:p w:rsidR="004664E7" w:rsidRPr="004664E7" w:rsidRDefault="004664E7" w:rsidP="004664E7">
            <w:pPr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Ул. Катићева бр. 29, Ниш и Булевар др Зорана Ђинђића бр. 52а, Ниш</w:t>
            </w:r>
          </w:p>
        </w:tc>
      </w:tr>
      <w:tr w:rsidR="004664E7" w:rsidRPr="004664E7" w:rsidTr="00473564">
        <w:tc>
          <w:tcPr>
            <w:tcW w:w="2268" w:type="dxa"/>
          </w:tcPr>
          <w:p w:rsidR="004664E7" w:rsidRPr="004664E7" w:rsidRDefault="004664E7" w:rsidP="004664E7">
            <w:pPr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Телефони</w:t>
            </w:r>
          </w:p>
        </w:tc>
        <w:tc>
          <w:tcPr>
            <w:tcW w:w="7338" w:type="dxa"/>
          </w:tcPr>
          <w:p w:rsidR="004664E7" w:rsidRPr="004664E7" w:rsidRDefault="004664E7" w:rsidP="004664E7">
            <w:pPr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018/4500056 и 018/4234155</w:t>
            </w:r>
          </w:p>
        </w:tc>
      </w:tr>
      <w:tr w:rsidR="004664E7" w:rsidRPr="004664E7" w:rsidTr="00473564">
        <w:tc>
          <w:tcPr>
            <w:tcW w:w="2268" w:type="dxa"/>
          </w:tcPr>
          <w:p w:rsidR="004664E7" w:rsidRPr="004664E7" w:rsidRDefault="004664E7" w:rsidP="004664E7">
            <w:pPr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  <w:lang w:val="sr-Cyrl-CS"/>
              </w:rPr>
              <w:t xml:space="preserve">Веб </w:t>
            </w:r>
            <w:r w:rsidRPr="004664E7">
              <w:rPr>
                <w:rFonts w:cstheme="minorHAnsi"/>
                <w:sz w:val="24"/>
                <w:szCs w:val="24"/>
              </w:rPr>
              <w:t xml:space="preserve"> адреса</w:t>
            </w:r>
          </w:p>
        </w:tc>
        <w:tc>
          <w:tcPr>
            <w:tcW w:w="7338" w:type="dxa"/>
          </w:tcPr>
          <w:p w:rsidR="004664E7" w:rsidRPr="004664E7" w:rsidRDefault="004664E7" w:rsidP="004664E7">
            <w:pPr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sz w:val="24"/>
                <w:szCs w:val="24"/>
              </w:rPr>
              <w:t>www.studentskanis.rs</w:t>
            </w:r>
          </w:p>
        </w:tc>
      </w:tr>
      <w:tr w:rsidR="004664E7" w:rsidRPr="004664E7" w:rsidTr="00473564">
        <w:tc>
          <w:tcPr>
            <w:tcW w:w="2268" w:type="dxa"/>
          </w:tcPr>
          <w:p w:rsidR="004664E7" w:rsidRPr="004664E7" w:rsidRDefault="004664E7" w:rsidP="004664E7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4664E7">
              <w:rPr>
                <w:rFonts w:cstheme="minorHAnsi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7338" w:type="dxa"/>
          </w:tcPr>
          <w:p w:rsidR="004664E7" w:rsidRPr="004664E7" w:rsidRDefault="004664E7" w:rsidP="004664E7">
            <w:pPr>
              <w:rPr>
                <w:rFonts w:cstheme="minorHAnsi"/>
                <w:sz w:val="24"/>
                <w:szCs w:val="24"/>
              </w:rPr>
            </w:pPr>
            <w:r w:rsidRPr="004664E7">
              <w:rPr>
                <w:rFonts w:cstheme="minorHAnsi"/>
                <w:color w:val="1F497D" w:themeColor="text2"/>
                <w:sz w:val="24"/>
                <w:szCs w:val="24"/>
              </w:rPr>
              <w:t>studentskanis@gmail.com</w:t>
            </w:r>
          </w:p>
        </w:tc>
      </w:tr>
    </w:tbl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3564" w:rsidRDefault="00473564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73564" w:rsidRDefault="00473564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73564" w:rsidRDefault="00473564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ПРЕДМЕТ ИЗВЕШТАЈА</w:t>
      </w:r>
    </w:p>
    <w:p w:rsidR="00473564" w:rsidRPr="00473564" w:rsidRDefault="00473564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 извештаја је анализа извршења плана рада и </w:t>
      </w:r>
      <w:r w:rsidR="00CF37AF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пословањ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за период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I-XII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2017. године и то:</w:t>
      </w:r>
    </w:p>
    <w:p w:rsidR="004664E7" w:rsidRPr="004664E7" w:rsidRDefault="004664E7" w:rsidP="004664E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Извршење плана здравствених услуга</w:t>
      </w:r>
    </w:p>
    <w:p w:rsidR="004664E7" w:rsidRPr="004664E7" w:rsidRDefault="004664E7" w:rsidP="004664E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Извршење плана унапређења рада Завода</w:t>
      </w:r>
    </w:p>
    <w:p w:rsidR="004664E7" w:rsidRPr="004664E7" w:rsidRDefault="004664E7" w:rsidP="004664E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III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Извршење плана јавних набавки и инвестиционог одржавања</w:t>
      </w:r>
    </w:p>
    <w:p w:rsidR="004664E7" w:rsidRPr="004664E7" w:rsidRDefault="004664E7" w:rsidP="004664E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 о финансијском пословању за 2017.</w:t>
      </w:r>
      <w:proofErr w:type="gramEnd"/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годину.</w:t>
      </w: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73564" w:rsidRPr="00473564" w:rsidRDefault="00473564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ДЕЛАТНОСТ И УСМЕРЕЊЕ ЗАВОДА ЗА ЗДРАВСТВЕНУ ЗАШТИТУ СТУДЕНАТА НИШ</w:t>
      </w:r>
    </w:p>
    <w:p w:rsidR="004664E7" w:rsidRP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autoSpaceDE w:val="0"/>
        <w:autoSpaceDN w:val="0"/>
        <w:adjustRightInd w:val="0"/>
        <w:spacing w:before="79"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Завод за зд</w:t>
      </w:r>
      <w:r w:rsidR="00743D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равствену заштиту студената Ниш</w:t>
      </w: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пружа здравствене услуге студентима свих факултета Универзитета у Нишу, као и приватним универзитетима и факултетима, односно њиховим испоставама</w:t>
      </w: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/>
        </w:rPr>
        <w:t xml:space="preserve"> и високим школама</w:t>
      </w:r>
      <w:r w:rsidRPr="004664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на територији града Ниша. Основан је 1960. године када су у Нишу почели да раде први факултети. 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Завод 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има две амбуланте и то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: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амбуланту у ул. Катићева бр. 29 у центру града  и амбулант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у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смештен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у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кругу Клиничког центра у Нишу, на адреси Булевар др Зорана Ђинђића 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бр. 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52а.</w:t>
      </w:r>
      <w:r w:rsidRPr="004664E7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</w:p>
    <w:p w:rsidR="004664E7" w:rsidRPr="004664E7" w:rsidRDefault="004664E7" w:rsidP="004664E7">
      <w:pPr>
        <w:autoSpaceDE w:val="0"/>
        <w:autoSpaceDN w:val="0"/>
        <w:adjustRightInd w:val="0"/>
        <w:spacing w:before="79"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оквиру своје делатности, а у складу са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Законом о здравственој заштити, С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тратегијом</w:t>
      </w:r>
      <w:r w:rsidR="003F7B89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3F7B8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развоја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здравља младих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Републици Србији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Законом о младима, као и осталим прописима из ове области,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Завод за здравствену заштиту студената у Нишу пружа примарну здравствену заштиту студентима тако што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поред лечења студената,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прати и проучава социо-епидемиолошко и здравствено стање, здравствену културу и хигијенске прилике студентске популације и спроводи мере здравственог васпитања на формирању понашања које воде очувању и унапређењу  здравља. </w:t>
      </w:r>
    </w:p>
    <w:p w:rsidR="004664E7" w:rsidRPr="004664E7" w:rsidRDefault="004664E7" w:rsidP="004664E7">
      <w:pPr>
        <w:autoSpaceDE w:val="0"/>
        <w:autoSpaceDN w:val="0"/>
        <w:adjustRightInd w:val="0"/>
        <w:spacing w:before="79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4E7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4664E7">
        <w:rPr>
          <w:rFonts w:ascii="Times New Roman" w:hAnsi="Times New Roman" w:cs="Times New Roman"/>
          <w:sz w:val="24"/>
          <w:szCs w:val="24"/>
          <w:lang w:val="sr-Cyrl-CS"/>
        </w:rPr>
        <w:t>свим плановима и развојним опредељењима Завода</w:t>
      </w:r>
      <w:r w:rsidRPr="004664E7">
        <w:rPr>
          <w:rFonts w:ascii="Times New Roman" w:hAnsi="Times New Roman" w:cs="Times New Roman"/>
          <w:sz w:val="24"/>
          <w:szCs w:val="24"/>
          <w:lang w:val="ru-RU"/>
        </w:rPr>
        <w:t xml:space="preserve"> је истакнута потреба да се свим младим људима обезбеди сет здравствених услуга које су «поверљиве и квалитетне, засноване </w:t>
      </w:r>
      <w:r w:rsidRPr="004664E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потребама младих, а које обављају мотивисани, пријатељски расположени и едуковани здравствени радници и здравствени сарадници у безбедном окружењу за младе и у чијем планирању, спровођењу, праћењу и оцењивању млади имају кључну улогу». Посебан напор се улаже на савладавање изазова</w:t>
      </w:r>
      <w:r w:rsidRPr="004664E7">
        <w:rPr>
          <w:rFonts w:ascii="Times New Roman" w:hAnsi="Times New Roman" w:cs="Times New Roman"/>
          <w:sz w:val="24"/>
          <w:szCs w:val="24"/>
          <w:lang w:val="sr-Latn-CS"/>
        </w:rPr>
        <w:t xml:space="preserve"> и ризика</w:t>
      </w:r>
      <w:r w:rsidRPr="004664E7">
        <w:rPr>
          <w:rFonts w:ascii="Times New Roman" w:hAnsi="Times New Roman" w:cs="Times New Roman"/>
          <w:sz w:val="24"/>
          <w:szCs w:val="24"/>
          <w:lang w:val="ru-RU"/>
        </w:rPr>
        <w:t xml:space="preserve"> по здравље са којима се суочавају млади људи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који су већ у неповољном друштвеном и економском положају.</w:t>
      </w:r>
    </w:p>
    <w:p w:rsidR="004664E7" w:rsidRPr="004664E7" w:rsidRDefault="004664E7" w:rsidP="004664E7">
      <w:pPr>
        <w:autoSpaceDE w:val="0"/>
        <w:autoSpaceDN w:val="0"/>
        <w:adjustRightInd w:val="0"/>
        <w:spacing w:before="79"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свом саставу Завод има службу опште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медицине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службу здравствене заштите жена,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стоматолошку службу,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специјалистичк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о-консултативну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служб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оквиру које су одељења за неуропсихијатрију,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офталмологију, дерматове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ерологију, лабораторијску и ултразвучну дијагностику,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затим службу за опше послове и техничку службу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</w:p>
    <w:p w:rsidR="004664E7" w:rsidRPr="004664E7" w:rsidRDefault="004664E7" w:rsidP="004664E7">
      <w:pPr>
        <w:suppressAutoHyphens/>
        <w:autoSpaceDE w:val="0"/>
        <w:autoSpaceDN w:val="0"/>
        <w:adjustRightInd w:val="0"/>
        <w:spacing w:after="34"/>
        <w:ind w:firstLine="720"/>
        <w:jc w:val="both"/>
        <w:textAlignment w:val="center"/>
        <w:rPr>
          <w:rFonts w:ascii="Times New Roman" w:hAnsi="Times New Roman" w:cs="Times New Roman"/>
          <w:spacing w:val="2"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У Заводу се врши и</w:t>
      </w:r>
      <w:r w:rsidRPr="004664E7">
        <w:rPr>
          <w:rFonts w:ascii="Times New Roman" w:hAnsi="Times New Roman" w:cs="Times New Roman"/>
          <w:sz w:val="24"/>
          <w:szCs w:val="24"/>
          <w:lang w:val="sr-Cyrl-CS"/>
        </w:rPr>
        <w:t xml:space="preserve"> континуирано праћење  потреба младих, припремају и спроводе програми за промоцију здравља младих и циљани превентивни програми. </w:t>
      </w:r>
      <w:r w:rsidRPr="004664E7">
        <w:rPr>
          <w:rFonts w:ascii="Times New Roman" w:hAnsi="Times New Roman" w:cs="Times New Roman"/>
          <w:spacing w:val="2"/>
          <w:sz w:val="24"/>
          <w:szCs w:val="24"/>
        </w:rPr>
        <w:t xml:space="preserve">Све ово праћено је непрестаним прилагођавањем служби Завода </w:t>
      </w:r>
      <w:r w:rsidRPr="004664E7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свим </w:t>
      </w:r>
      <w:r w:rsidRPr="004664E7">
        <w:rPr>
          <w:rFonts w:ascii="Times New Roman" w:hAnsi="Times New Roman" w:cs="Times New Roman"/>
          <w:spacing w:val="2"/>
          <w:sz w:val="24"/>
          <w:szCs w:val="24"/>
        </w:rPr>
        <w:t>развојним потребама младих</w:t>
      </w:r>
      <w:r w:rsidRPr="004664E7">
        <w:rPr>
          <w:rFonts w:ascii="Times New Roman" w:hAnsi="Times New Roman" w:cs="Times New Roman"/>
          <w:spacing w:val="2"/>
          <w:sz w:val="24"/>
          <w:szCs w:val="24"/>
          <w:lang w:val="sr-Cyrl-CS"/>
        </w:rPr>
        <w:t>, њих преко 37000 који, сходно седишту Универзитета, гравитирају ка Нишу из Нишавског, Борског, Зајечарског, Расинског, Топличког, Јабланичког, Пиротског, Пчињског округа, али и шире.</w:t>
      </w:r>
    </w:p>
    <w:p w:rsidR="004664E7" w:rsidRPr="004664E7" w:rsidRDefault="004664E7" w:rsidP="00466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sz w:val="24"/>
          <w:szCs w:val="24"/>
          <w:lang w:val="sr-Cyrl-CS"/>
        </w:rPr>
        <w:t>У Заводу се такође спроводи и законска обавеза обављања превентивних систематских прегледа студената прве и треће године студија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: „систематски и остали прегледи деце до навршених 18 година живота, односно до краја прописаног средњошколског, односно високошколског образовања а најкасније до навршених 26 година живота, жена у вези са трудноћом и одраслих особа у складу са републичким програмом превенције и раног откривања болести од већег социјално-медицинског значаја, односно скрининг програма.“ - Закон о здравственом осигурању („Сл. Гласник РС“, број 107/2005, 109/2005-исправка и 57/2001, 110/2012, 119/2012, 99/2014. и 126/2014.), члан 35, који утврђује превентивне здравствене прегледе. Према Правилнику о садржају о обиму права на здравствену заштиту из обавезног здравственог осигурања и о партиципацији, студенти до навршених 26 година живота подлежу обавезном систематском прегледу, и то студенти прве и треће године студија.</w:t>
      </w: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Систематски преглед обухвата: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 преглед и преглед по системима који обухвата и неуролошки статус, а код жена и превентивни гинеколошки преглед;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реглед стоматолога;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стандардне лабораторијске претраге;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оцену здравственог стања;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одређивање додатних медицинских испитивања у зависности од нађеног стања и фактора ризика;</w:t>
      </w:r>
    </w:p>
    <w:p w:rsidR="004664E7" w:rsidRPr="004664E7" w:rsidRDefault="004664E7" w:rsidP="004664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здравствено васпитни рад.</w:t>
      </w:r>
    </w:p>
    <w:p w:rsidR="004664E7" w:rsidRPr="004664E7" w:rsidRDefault="004664E7" w:rsidP="004664E7">
      <w:pPr>
        <w:autoSpaceDE w:val="0"/>
        <w:autoSpaceDN w:val="0"/>
        <w:adjustRightInd w:val="0"/>
        <w:spacing w:before="79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Главни усмерења у раду Завода су: </w:t>
      </w:r>
    </w:p>
    <w:p w:rsidR="004664E7" w:rsidRPr="004664E7" w:rsidRDefault="004664E7" w:rsidP="004664E7">
      <w:pPr>
        <w:numPr>
          <w:ilvl w:val="0"/>
          <w:numId w:val="15"/>
        </w:numPr>
        <w:autoSpaceDE w:val="0"/>
        <w:autoSpaceDN w:val="0"/>
        <w:adjustRightInd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успостављање приоритета у области здравља студената - превенција као основна делатност Завода и њено даље унапре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ђ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ивање; </w:t>
      </w:r>
    </w:p>
    <w:p w:rsidR="004664E7" w:rsidRPr="004664E7" w:rsidRDefault="004664E7" w:rsidP="004664E7">
      <w:pPr>
        <w:numPr>
          <w:ilvl w:val="0"/>
          <w:numId w:val="15"/>
        </w:numPr>
        <w:autoSpaceDE w:val="0"/>
        <w:autoSpaceDN w:val="0"/>
        <w:adjustRightInd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развој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прилаго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ђ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авање потребама студен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ске популације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креирање активности у области промоције здравља, кроз предавања, радионоце и тематске промотивне акције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усмерон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 кориснцима услуга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</w:p>
    <w:p w:rsidR="004664E7" w:rsidRPr="004664E7" w:rsidRDefault="004664E7" w:rsidP="004664E7">
      <w:pPr>
        <w:numPr>
          <w:ilvl w:val="0"/>
          <w:numId w:val="15"/>
        </w:numPr>
        <w:autoSpaceDE w:val="0"/>
        <w:autoSpaceDN w:val="0"/>
        <w:adjustRightInd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унапређење и подршка индивидуалним и колективним здравим стиловима живота, адекватним, прилагођеним услугама и ефективном коришћењу здравствених служби; </w:t>
      </w:r>
    </w:p>
    <w:p w:rsidR="004664E7" w:rsidRPr="004664E7" w:rsidRDefault="004664E7" w:rsidP="004664E7">
      <w:pPr>
        <w:numPr>
          <w:ilvl w:val="0"/>
          <w:numId w:val="15"/>
        </w:numPr>
        <w:autoSpaceDE w:val="0"/>
        <w:autoSpaceDN w:val="0"/>
        <w:adjustRightInd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развијање партнерства са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студентима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државним органима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организацијама, организацијама локалне самуправе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невладин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сектор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приватним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факултетима и универзитетима, као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кроз развој ме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</w:rPr>
        <w:t>ђ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ународне сарадње са сродним установама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</w:p>
    <w:p w:rsidR="004664E7" w:rsidRPr="004664E7" w:rsidRDefault="004664E7" w:rsidP="004664E7">
      <w:pPr>
        <w:numPr>
          <w:ilvl w:val="0"/>
          <w:numId w:val="15"/>
        </w:numPr>
        <w:autoSpaceDE w:val="0"/>
        <w:autoSpaceDN w:val="0"/>
        <w:adjustRightInd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дефинисање индикатора и праћење детерминанти здравља и фактора ризика везаних за здравље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студената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64E7" w:rsidRPr="004664E7" w:rsidRDefault="004664E7" w:rsidP="004664E7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4664E7" w:rsidRPr="004664E7" w:rsidRDefault="004664E7" w:rsidP="004664E7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  <w:t xml:space="preserve"> </w:t>
      </w:r>
    </w:p>
    <w:p w:rsidR="004664E7" w:rsidRP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ИЗВРШЕЊЕ ПЛАНА ЗДРАВСТВЕНИХ УСЛУГА</w:t>
      </w:r>
    </w:p>
    <w:p w:rsidR="004664E7" w:rsidRP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пружању здравствене заштите у 2017. години у Заводу је било ангажовано 44 радника и то: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доктор медицине,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1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субспецијалиста здравственог васпитања,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0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специјалиста (4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лекара специјалиста опште медицине, 1 лекар специјалиста дерматовенеролог, 1 лекар специјалиста офталмолог, 1 лекар специјалиста неуропсихијатар, 1 лекар специјалиста клиничке биохемије, 2 лекара специјалиста гинекологије и акушерства), затим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доктор стоматологије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3 лекара специјалиста опште стоматологије, 2 здравствена сарадника,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1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медицинских сестара-техничара,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 виши лабораторијски техничар,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4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стоматолошке сестре-техничара и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административно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техни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ч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ких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радника</w:t>
      </w:r>
      <w:r w:rsidRPr="004664E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93"/>
        <w:tblOverlap w:val="never"/>
        <w:tblW w:w="9606" w:type="dxa"/>
        <w:tblLook w:val="0000" w:firstRow="0" w:lastRow="0" w:firstColumn="0" w:lastColumn="0" w:noHBand="0" w:noVBand="0"/>
      </w:tblPr>
      <w:tblGrid>
        <w:gridCol w:w="959"/>
        <w:gridCol w:w="6520"/>
        <w:gridCol w:w="2127"/>
      </w:tblGrid>
      <w:tr w:rsidR="004664E7" w:rsidRPr="004664E7" w:rsidTr="00473564">
        <w:trPr>
          <w:trHeight w:val="291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 w:type="page"/>
            </w: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 w:type="page"/>
            </w: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 w:type="page"/>
            </w:r>
            <w:r w:rsidRPr="0046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Р.бр.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ОРГАНИЗАЦИОНЕ ЈЕДИНИЦЕ 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</w:tr>
      <w:tr w:rsidR="004664E7" w:rsidRPr="004664E7" w:rsidTr="00473564">
        <w:trPr>
          <w:trHeight w:val="277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664E7" w:rsidTr="00473564">
        <w:trPr>
          <w:trHeight w:val="277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664E7" w:rsidTr="00473564">
        <w:trPr>
          <w:trHeight w:val="1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авствна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заштита студената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авствна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заштита жена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Неуропсихијатрија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Социјални радник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Психолог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аторијска</w:t>
            </w: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дијагностика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3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Стоматологија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</w:tr>
      <w:tr w:rsidR="004664E7" w:rsidRPr="004664E7" w:rsidTr="00473564">
        <w:trPr>
          <w:trHeight w:val="2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Економско-правни и општи послови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  <w:tr w:rsidR="004664E7" w:rsidRPr="004664E7" w:rsidTr="00473564">
        <w:trPr>
          <w:trHeight w:val="291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44</w:t>
            </w:r>
          </w:p>
        </w:tc>
      </w:tr>
    </w:tbl>
    <w:p w:rsidR="004664E7" w:rsidRPr="004664E7" w:rsidRDefault="004664E7" w:rsidP="004664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Структура запослених у Заводу у складу је са 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>Правилником о ближим условима за обављање здравствене делатности у здравственим установама и другим облицима здравствене службе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Сл. </w:t>
      </w:r>
      <w:proofErr w:type="gramStart"/>
      <w:r w:rsidRPr="004664E7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gramEnd"/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РС 43/06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4664E7" w:rsidRDefault="004664E7" w:rsidP="004664E7">
      <w:pPr>
        <w:autoSpaceDE w:val="0"/>
        <w:autoSpaceDN w:val="0"/>
        <w:adjustRightInd w:val="0"/>
        <w:spacing w:before="79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473564" w:rsidRDefault="00473564" w:rsidP="004664E7">
      <w:pPr>
        <w:autoSpaceDE w:val="0"/>
        <w:autoSpaceDN w:val="0"/>
        <w:adjustRightInd w:val="0"/>
        <w:spacing w:before="79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473564" w:rsidRDefault="00473564" w:rsidP="004664E7">
      <w:pPr>
        <w:autoSpaceDE w:val="0"/>
        <w:autoSpaceDN w:val="0"/>
        <w:adjustRightInd w:val="0"/>
        <w:spacing w:before="79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473564" w:rsidRDefault="00473564" w:rsidP="004664E7">
      <w:pPr>
        <w:autoSpaceDE w:val="0"/>
        <w:autoSpaceDN w:val="0"/>
        <w:adjustRightInd w:val="0"/>
        <w:spacing w:before="79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473564" w:rsidRDefault="00473564" w:rsidP="004664E7">
      <w:pPr>
        <w:autoSpaceDE w:val="0"/>
        <w:autoSpaceDN w:val="0"/>
        <w:adjustRightInd w:val="0"/>
        <w:spacing w:before="79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473564" w:rsidRDefault="00473564" w:rsidP="004664E7">
      <w:pPr>
        <w:autoSpaceDE w:val="0"/>
        <w:autoSpaceDN w:val="0"/>
        <w:adjustRightInd w:val="0"/>
        <w:spacing w:before="79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473564" w:rsidRPr="00473564" w:rsidRDefault="00473564" w:rsidP="004664E7">
      <w:pPr>
        <w:autoSpaceDE w:val="0"/>
        <w:autoSpaceDN w:val="0"/>
        <w:adjustRightInd w:val="0"/>
        <w:spacing w:before="79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4664E7" w:rsidRPr="004664E7" w:rsidRDefault="004664E7" w:rsidP="004664E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sz w:val="24"/>
          <w:szCs w:val="24"/>
          <w:lang w:val="sr-Cyrl-CS"/>
        </w:rPr>
        <w:t>ИЗВРШЕНЕ УСЛУГЕ</w:t>
      </w:r>
    </w:p>
    <w:tbl>
      <w:tblPr>
        <w:tblW w:w="9630" w:type="dxa"/>
        <w:tblInd w:w="93" w:type="dxa"/>
        <w:tblLook w:val="04A0" w:firstRow="1" w:lastRow="0" w:firstColumn="1" w:lastColumn="0" w:noHBand="0" w:noVBand="1"/>
      </w:tblPr>
      <w:tblGrid>
        <w:gridCol w:w="1120"/>
        <w:gridCol w:w="1117"/>
        <w:gridCol w:w="5200"/>
        <w:gridCol w:w="1021"/>
        <w:gridCol w:w="1172"/>
      </w:tblGrid>
      <w:tr w:rsidR="004664E7" w:rsidRPr="004664E7" w:rsidTr="00473564">
        <w:trPr>
          <w:trHeight w:val="270"/>
        </w:trPr>
        <w:tc>
          <w:tcPr>
            <w:tcW w:w="7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ЗДРАВСТВЕНА ЗАШТИТА СТУДЕНТСКЕ ОМЛАДИНЕ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4664E7" w:rsidRDefault="004664E7" w:rsidP="0046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4664E7" w:rsidRDefault="004664E7" w:rsidP="0046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64E7" w:rsidRPr="004664E7" w:rsidTr="00473564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4664E7" w:rsidRDefault="004664E7" w:rsidP="0046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4664E7" w:rsidRDefault="004664E7" w:rsidP="0046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4664E7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E7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 12</w:t>
            </w:r>
          </w:p>
        </w:tc>
      </w:tr>
      <w:tr w:rsidR="004664E7" w:rsidRPr="004664E7" w:rsidTr="00473564">
        <w:trPr>
          <w:trHeight w:val="5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4E7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4664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E7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E7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4E7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</w:t>
            </w:r>
            <w:r w:rsidRPr="004664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I-XII 2017.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4E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2017.</w:t>
            </w:r>
          </w:p>
        </w:tc>
      </w:tr>
      <w:tr w:rsidR="004664E7" w:rsidRPr="004664E7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ПРЕВЕНТИВА/ Прегледи лекара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4664E7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64E7" w:rsidRPr="004664E7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Превентивни  преглед одраслих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5599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1200013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  преглед у  I години студија (19 -20 година)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3259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1200013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  прегледи у III години студија (21 -22 година)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FF" w:rsidRPr="00C83AFF" w:rsidRDefault="00C83AFF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</w:p>
        </w:tc>
      </w:tr>
      <w:tr w:rsidR="004664E7" w:rsidRPr="00C83AFF" w:rsidTr="00473564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Скрининг/ рано откривање депресије ( 19 и више година)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KУРАТИВА/Прегледи лекара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34590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1200039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Први преглед студентске омладине (одраслих) ради лечења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FF" w:rsidRPr="00C83AFF" w:rsidRDefault="00C83AFF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14695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19020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1200047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Поновни преглед студентске омладине (одраслих) ради лечења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FF" w:rsidRPr="00C83AFF" w:rsidRDefault="00C83AFF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11395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14006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1200054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Посебни преглед студената ради допунске диј.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даљ. лечења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Кратка посета изабраном лекару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1564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C8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7416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дрен./ исп./одстр.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упал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процеса - опште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65" w:rsidRDefault="00743D65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Ексц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одстр. тк./дестр./ чишћ. ране/ каутеризација - опште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FF" w:rsidRPr="00C83AFF" w:rsidRDefault="00C83AFF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Инструментација/ катетеризација - опште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Намештање/ фиксација – опште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ињекц./ инфилтрација/ апликација лека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4752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6420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компресивни завој/ компресија/ тампонада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Електрофизиолошко сним.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везано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кардиоваск.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сис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 - ЕКГ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FF" w:rsidRPr="00C83AFF" w:rsidRDefault="00C83AFF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Слож. терапеутске проц. / мање хируршке интервенције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ЗДРАВСТВЕНО ВАСПИТАЊЕ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здравствено-васпитни рад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3064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1680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Групни здравствено-васпитни рад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Рад у малој групи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Организациони састанак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Здравствена изложба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Рад у заједници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64E7" w:rsidRPr="00C83AFF" w:rsidTr="00473564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450"/>
        </w:trPr>
        <w:tc>
          <w:tcPr>
            <w:tcW w:w="7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Спроводе Заводи за здравствену заштиту студената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664E7" w:rsidRPr="00C83AFF" w:rsidRDefault="004664E7" w:rsidP="004664E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473564" w:rsidRPr="00C83AFF" w:rsidRDefault="00473564" w:rsidP="004664E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1016"/>
        <w:gridCol w:w="1117"/>
        <w:gridCol w:w="5474"/>
        <w:gridCol w:w="1021"/>
        <w:gridCol w:w="1152"/>
      </w:tblGrid>
      <w:tr w:rsidR="004664E7" w:rsidRPr="00C83AFF" w:rsidTr="00473564">
        <w:trPr>
          <w:trHeight w:val="255"/>
        </w:trPr>
        <w:tc>
          <w:tcPr>
            <w:tcW w:w="7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1005 - ЗДРАВСТВЕНА ЗАШТИТА ЖЕНА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 11</w:t>
            </w:r>
          </w:p>
        </w:tc>
      </w:tr>
      <w:tr w:rsidR="004664E7" w:rsidRPr="00C83AFF" w:rsidTr="00473564">
        <w:trPr>
          <w:trHeight w:val="76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 I-XII 2017.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2017.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ПРЕВЕНТИВА/ Прегледи лекара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5690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Превентивни гинеколошки преглед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4664E7" w:rsidRPr="00C83AFF" w:rsidTr="00473564">
        <w:trPr>
          <w:trHeight w:val="49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Скрининг/ рано откривање рака грлића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материце  код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жена 25-64. година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49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1300029*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Скрининг/ рано откривање рака грлића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материце  код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жена 25-64. година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1300151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преглед у вези са планирањем породице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2885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Превентивни преглед труднице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До краја првог триместра трудноће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први прегледи труднице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664E7" w:rsidRPr="00C83AFF" w:rsidTr="00473564">
        <w:trPr>
          <w:trHeight w:val="54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Ексфолијативна цитологија ткива репродукт. органа жене - неаутоматизована припрема и неаутоматизовано бојење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8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3AF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Ексфолијативна цитологија ткива репродукт. органа жене - неаутоматизована припрема и неаутоматизовано бојење (за превентивне прегледе)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Контролни преглед труднице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преглед труднице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664E7" w:rsidRPr="00C83AFF" w:rsidTr="00473564">
        <w:trPr>
          <w:trHeight w:val="6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 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Контролни преглед труднице са високо-ризичном трудноћом (за високо ризичну трудноћу)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1300169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Превентивни преглед породиље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1300169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 шест недеља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1300169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 шест месеци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2200079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Гинеколошко-акушерски ултраз.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трудница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KУРАТИВА/ Прегледи лекара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7505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Први гинеколошки преглед ради лечења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2838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гинеколошки преглед ради лечења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1300185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Посебни гинеколошки преглед ради допунске дијагностике и лечења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1000017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Кратка посета изабраном лекару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2934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2600</w:t>
            </w:r>
          </w:p>
        </w:tc>
      </w:tr>
      <w:tr w:rsidR="004664E7" w:rsidRPr="00C83AFF" w:rsidTr="00473564">
        <w:trPr>
          <w:trHeight w:val="5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1000066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Лекарски преглед на терену (у установама које немају службу кућног лечења)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5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Ексфолијативна цитологија ткива репродукт. органа жене - неаутоматизована припрема и неаутоматизовано бојење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2200079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Гинеколошко-акушерски ултразвучни преглед осталих жена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2200103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Ултразвучни преглед органа (дојке)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Психофизичка припрема труднице за порођај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Узимање материјала за анализу и тестирање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Електрофизиолошко снимање у гинекологији и акушерству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1300094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Дијагн. тест за испит.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обољ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 репродуктивних органа жене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дрен./ ис./ асп.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продуката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упал.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реп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 жене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Ексц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одстр. тк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дестр./ чишћ. ране/ каутеризација промена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1300128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мања хир.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инт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које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 одн.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реп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 органа жене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ињекц./ инфилтрација/ апликација лека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компресивни завој/ компресија/ тампонада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5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Ексцизија/ одстрањивање ткива/ деструкција/ чишћење ране/ каутеризација - опште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1300177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Сложена гинеколошко-акешерска процедура ПОРОЂАЈ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ЗДРАВСТВЕНО ВАСПИТАЊЕ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1506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здравствено-васпитни рад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4664E7" w:rsidRPr="00C83AFF" w:rsidTr="00473564">
        <w:trPr>
          <w:trHeight w:val="5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здравствено-васпитни рад (скрининг на карцином дојке) код жена 50-69 година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Групни здравствено-васпитни рад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Рад у малој групи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Организациони састанак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Здравствена изложба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Рад у заједници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трудница са високоризичном трудноћом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парова укључених у школу родитељства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трудница које су прошле психоф. припрему за порођај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7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За установе укључене у организовани скрининг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64E7" w:rsidRPr="00C83AFF" w:rsidRDefault="004664E7" w:rsidP="004664E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1039"/>
        <w:gridCol w:w="6305"/>
        <w:gridCol w:w="1021"/>
        <w:gridCol w:w="1169"/>
      </w:tblGrid>
      <w:tr w:rsidR="004664E7" w:rsidRPr="00C83AFF" w:rsidTr="00473564">
        <w:trPr>
          <w:trHeight w:val="315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1015 - СЛУЖБА ЗА ЛАБОРАТОРИЈСКУ ДИЈАГНОСТИКУ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 бр 18</w:t>
            </w:r>
          </w:p>
        </w:tc>
      </w:tr>
      <w:tr w:rsidR="004664E7" w:rsidRPr="00C83AFF" w:rsidTr="00473564">
        <w:trPr>
          <w:trHeight w:val="6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</w:t>
            </w: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ШИФРА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Извршење </w:t>
            </w: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I-XII 2017.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2017.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Заједничке опште лабораторијске услуге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L000018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Узорковање крви (микроузорковање)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L000026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Узорковање крви (венепункција)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L000034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Узорковање других биолошких материјала у лабораторији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Опште хематолошке анализе у  крви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13655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L014019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Хематокрит (Хцт) у крви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L014027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Хемоглобин (Хб) у крви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4697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4590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L014076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Крвна слика (Ер, Ле, Хцт, Хб, Тр)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L014084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Крвна слика (Ер, Ле, Хцт, Хб, Тр, ЛеФ)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3146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2565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L014118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Леукоцитарна формула (ЛеФ) - ручно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L014142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Одређивање броја еритроцита (Ер) у крви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4697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4590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L014159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Одређивање броја леукоцита (Ле) у крви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L014175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Одређивање броја ретикулоцита у крви - микроскопирањем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L014183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Одређивање броја тромбоцита (Тр) у крви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L014209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Седиментација еритроцита (СЕ)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2583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Хематолошке анализе коагулације у крви, односно плазми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L014332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Активирано парцијално тромбопластинско време (аПТТ) у плазми - коагулометријски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Фибриноген у плазми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L014738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Фибриноген у плазми - спектрофотометријски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L014795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ИНР - за праћење антикоагулантне терапије у плазми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L015057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Протромбинско време (ПТ)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L015271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Време крварења (Дуке)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крви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L000109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Аланин аминотрансфераза (АЛТ)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L000133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Алкална фосфатаза (АЛП)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L000166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Аспартат аминотрансфераза (АСТ)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L000216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(директан)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L000224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(укупан)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L000265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Ц-реактивни протеин (ЦРП)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L000307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Фосфор, неоргански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L000323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Гама-глутамил трансфераза (гама-ГТ)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L000331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Глукоза толеранс тест (тест оптерећења глукозом, ГТТ-орални) - глукоза у крви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L000349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Глукоза у капиларној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L000356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Глукоза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L000414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Хемоглобин А1ц (гликозилирани хемоглобин, ХбА1ц) у крви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L000513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Хлориди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L000521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Холестерол (укупан)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L000539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Холестерол (укупан)/ХДЛ -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L000547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Холестерол, ХДЛ -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L000554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Холестерол, ЛДЛ -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L000562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Холестерол, ВЛДЛ -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L000570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Калцијум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L000588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Калијум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L000596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 киназа (ЦК)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L000612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L000620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Лактат дехидрогеназа (ЛДХ)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L000653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Мокраћна киселина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L000661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Натријум у крви - ПОЦТ методом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L000745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(укупни) у крви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L000844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Уреа у крви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серуму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13982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L001040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Аланин аминотрансфераза (АЛТ)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L001057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Аланин аминотрансфераза (АЛТ) у серуму - спектрофотометрија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1761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L001081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Албумин у серуму - 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L001180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Алфа-амилаза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Алфа-амилаза у серуму - спектрофотометрија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L001248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Алкална фосфатаза (АЛП)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L001255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Алкална фосфатаза (АЛП) у серуму -спектрофотометријом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L001644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Аспартат аминотрансфераза (АСТ)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L001651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Аспартат аминотрансфераза (АСТ) у серуму - 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1772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L001883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(директан)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L001891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(директан) у серуму - 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L001909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(укупан)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L001917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(укупан) у серуму - 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L002055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Ц-реактивни протеин (ЦРП) у серуму - имунотурбидиметријом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L002071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Ц-реактивни протеин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L002493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Фосфор, неоргански у серуму - спектрофотометрија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L002501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Фосфор, неоргански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L002535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Гама-глутамил трансфераза (гама-ГТ)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L002543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Гама-глутамил трансфераза (гама-ГТ) у серуму - спектрофотометрија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L002600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Глукоза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L002618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Глукоза у серуму - спектрофотометрија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1390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L002667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Гвожђе у серуму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L002766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Хлориди у серуму - јон-селективном електродом (ЈСЕ)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L002774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Хлориди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L002808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 (укупан)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L002816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 (укупан) у серуму - 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L002840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Холестерол, ХДЛ -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L002857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Холестерол, ХДЛ - у серуму - спектрофотометрија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L002873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Холестерол, ЛДЛ - у серуму - израчунавањем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L002881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Холестерол, ЛДЛ -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L002899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Холестерол, ЛДЛ - у серуму - 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L003731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Калцијум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L003749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Калцијум у серуму - 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L003780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Калијум у серуму - јон-селективном електродом (ЈСЕ)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L003798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Калијум у серуму - пламена 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L003806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Калијум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L003954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Кисела фосфатаза (АцП) укупна у серуму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L003962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Кисела фосфатаза (АцП), простатична (простатична кисела фосфатаза, ПАП) у серуму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L004226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 киназа (ЦК)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L004234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 киназа (ЦК) у серуму - спектрофотометрија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L004309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Креатинин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L004317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Креатинин у серуму-спектрофотометријом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L004416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Лактат дехидрогеназа (ЛДХ) у серуму - спектрофотометрија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L004424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Лактат дехидрогеназа (ЛДХ)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L004804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Мокраћна киселина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L004812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Мокраћна киселина у серуму - спектрофотометрија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L004853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Натријум у серуму - пламена 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L004861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Натријум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L004879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Натријум у серуму, јон-селективном електродом (ЈСЕ)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L005439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(укупни) у серуму - 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L005843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ТИБЦ (укупни капацитет везивања гвожђа) у серуму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L006064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Триглицериди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L006072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Триглицериди у серуму - спектрофотометрија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L006239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УИБЦ (незасићени капацитет везивања гвожђа) у серуму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L006254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Уреа у серуму - спектрофотометријом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L006262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Уреа у серуму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плазми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L006973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Аланин аминотрансфераза (АЛТ) у плазми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L007005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Алфа-амилаза у плазми-ПОЦТ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L007013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Алкална фосфатаза (АЛП) у плазми-ПОЦТ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L007138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Аспарт аминотрансфераза (АСТ) у плазми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L007369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Гама-глутамил трансфераза (гама-ГТ) у плазми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L007401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Глукоза у плазми - ПОЦТ методом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урину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50671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48116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L008912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Алфа-амилаза у урину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L008946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(укупан) у урину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6921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6595</w:t>
            </w:r>
          </w:p>
        </w:tc>
      </w:tr>
      <w:tr w:rsidR="004664E7" w:rsidRPr="00C83AFF" w:rsidTr="00473564">
        <w:trPr>
          <w:trHeight w:val="49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L008953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Целокупни хемијски преглед, релативна густина и седимент урина - аутоматски са дигиталном проточном микроскопијом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L008961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Целокупни преглед, релативна густина урина - аутоматски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L008979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Целокупни преглед урина - ручно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L009035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Гликоза у урину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6921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6595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L009043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Хемоглобин (крв) у урину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6921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6595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L009266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Кетонска тела (ацетон) у урину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6921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6595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L009308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Лаки ланци имуноглобулина (Бенце-Јонес) у урину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L009399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пХ урина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6921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6595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L009423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(фракције протеина) у урину - електрофорезом на гелу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L009431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у урину - имуноелектрофорезом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L009456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у урину - сулфосалицилном киселином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6921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6595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L009464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Протеини у урину - загревањем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L009472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Седимент урина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1951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L009480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на трудноћу у урину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L009506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Уробилиноген у урину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6291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6595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Биохемијске анализе у фецесу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L012401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Хемоглобин (крв) (ФОБТ) у фецесу - имунохемијски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*L012401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Хемоглобин (крв) (ФОБТ) у фецесу - имунохемијски  (атрибут 33)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L012419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Хемоглобин (крв) (ФОБТ) у фецесу - ензимски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L012492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Масти у фецесу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L012534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Несварена мишићна влакна у фецесу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L012591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Скроб у фецесу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Биохемијске анализе и хематолошке анализе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75982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Микробиолошка анализа у области паразитологије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L020917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Брзи тест за детекцију копро-антигена Ентамоеба хистолyтица/диспар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L021311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Преглед столице на паразите (нативни препарат)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Микробиолошке и паразитолошке анализе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СВЕ АНАЛИЗЕ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75982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осигураника који су користили услуге лабораторија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9442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8820</w:t>
            </w:r>
          </w:p>
        </w:tc>
      </w:tr>
      <w:tr w:rsidR="004664E7" w:rsidRPr="00C83AFF" w:rsidTr="00473564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465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*Планира се према услугама из табеле 13 и/или  14, за програм организованог скрининга рака дебелог црева </w:t>
            </w:r>
          </w:p>
        </w:tc>
      </w:tr>
    </w:tbl>
    <w:p w:rsidR="004664E7" w:rsidRPr="00C83AFF" w:rsidRDefault="004664E7" w:rsidP="004664E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960"/>
        <w:gridCol w:w="1117"/>
        <w:gridCol w:w="5160"/>
        <w:gridCol w:w="1021"/>
        <w:gridCol w:w="1122"/>
      </w:tblGrid>
      <w:tr w:rsidR="004664E7" w:rsidRPr="00C83AFF" w:rsidTr="00473564">
        <w:trPr>
          <w:trHeight w:val="315"/>
        </w:trPr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1017 - УЛТРАЗВУЧНА ДИЈАГНОСТИКА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E7" w:rsidRPr="00C83AFF" w:rsidTr="0047356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 20</w:t>
            </w:r>
          </w:p>
        </w:tc>
      </w:tr>
      <w:tr w:rsidR="004664E7" w:rsidRPr="00C83AFF" w:rsidTr="00473564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 I-XII 2017.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2017.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Услуге ултразвука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2200087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Doppler scan регија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2200111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Doppler scan органа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2200095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 ултразвучни преглед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2200079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Ултразвучни преглед регија - сива скала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2200103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ултразвучни прегледи органа – сива скала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2200103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Ултразвучни преглед дојке – сива скала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2200103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*Ултразвучни преглед кукова – сива скала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 корисника  услуга ултразвука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73564" w:rsidRPr="00C83AFF" w:rsidRDefault="004664E7" w:rsidP="00473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3AFF">
        <w:rPr>
          <w:rFonts w:ascii="Times New Roman" w:eastAsia="Times New Roman" w:hAnsi="Times New Roman" w:cs="Times New Roman"/>
          <w:sz w:val="20"/>
          <w:szCs w:val="20"/>
        </w:rPr>
        <w:t>*Планирати уколико се услуга ради од стране редиолога, а не педијатра</w:t>
      </w:r>
    </w:p>
    <w:p w:rsidR="00774532" w:rsidRPr="00C83AFF" w:rsidRDefault="00774532" w:rsidP="00473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3564" w:rsidRPr="00C83AFF" w:rsidRDefault="00473564" w:rsidP="00473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30" w:type="dxa"/>
        <w:tblInd w:w="93" w:type="dxa"/>
        <w:tblLook w:val="04A0" w:firstRow="1" w:lastRow="0" w:firstColumn="1" w:lastColumn="0" w:noHBand="0" w:noVBand="1"/>
      </w:tblPr>
      <w:tblGrid>
        <w:gridCol w:w="960"/>
        <w:gridCol w:w="1117"/>
        <w:gridCol w:w="5160"/>
        <w:gridCol w:w="1021"/>
        <w:gridCol w:w="1172"/>
      </w:tblGrid>
      <w:tr w:rsidR="004664E7" w:rsidRPr="00C83AFF" w:rsidTr="00473564">
        <w:trPr>
          <w:trHeight w:val="315"/>
        </w:trPr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1010 - ОФТАЛМОЛОГИЈА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E7" w:rsidRPr="00C83AFF" w:rsidTr="0047356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 23</w:t>
            </w:r>
          </w:p>
        </w:tc>
      </w:tr>
      <w:tr w:rsidR="004664E7" w:rsidRPr="00C83AFF" w:rsidTr="00473564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</w:t>
            </w: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I-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XII  2017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2017.</w:t>
            </w:r>
          </w:p>
        </w:tc>
      </w:tr>
      <w:tr w:rsidR="004664E7" w:rsidRPr="00C83AFF" w:rsidTr="004735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Прегледи  лекара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1890</w:t>
            </w:r>
          </w:p>
        </w:tc>
      </w:tr>
      <w:tr w:rsidR="004664E7" w:rsidRPr="00C83AFF" w:rsidTr="0047356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офталмолошки преглед* мале деце у другој години живота, по упуту педијатра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Превентивни офталмолошки преглед* а мале деце у четвртој години живота по упуту педијатра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Превентивни офталмолошки преглед* деце  пред полазак у школу,  узраста у шестој/седмој години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Офталмолошки преглед у четрнаестој години (VII разред ОШ)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Офталмолошки преглед – први (особа оболела од дијабетеса)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Офталмолошки преглед – први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1610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специјалистичко-консултативни преглед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2186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Дијагн. тест за испитивање мотилитета ока и разрокости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Дијагностички тест за испитивaње колорног вида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Дијагностички тест за испитивање бинокуларног вида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Дијагностички тест за испитивање прекорнеалног филма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.../ одстр.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упал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предела ока и припојака ока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Инструмент. која се односи на предео ока и припојака ока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.../ апл.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лека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која се од. на предео ока и припојака ока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1600097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тамп. која се односи на предео ока и припојака ока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1600105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Терап. проц. која се односи на предео ока и припојака ока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664E7" w:rsidRPr="00C83AFF" w:rsidTr="00473564">
        <w:trPr>
          <w:trHeight w:val="255"/>
        </w:trPr>
        <w:tc>
          <w:tcPr>
            <w:tcW w:w="94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* Услуге 1600014- Превентивни преглед офталмога* у оквиру некада "систематског " односно превентивног прегледа  у педијатрији планирају се у складу са Стручно методолошким упутством (СМУ) РСК за здравствену заштиту жена, деце и омладине</w:t>
            </w:r>
          </w:p>
        </w:tc>
      </w:tr>
      <w:tr w:rsidR="004664E7" w:rsidRPr="00C83AFF" w:rsidTr="00473564">
        <w:trPr>
          <w:trHeight w:val="690"/>
        </w:trPr>
        <w:tc>
          <w:tcPr>
            <w:tcW w:w="94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Један извршилац на очном је уједно и директор Завода</w:t>
            </w: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 сходно томе је број планираних услуга за 2017. г.</w:t>
            </w: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смањен, тако да је план прављен на 30% од мера извршења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3564" w:rsidRDefault="00473564" w:rsidP="004664E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D1E69" w:rsidRPr="00C83AFF" w:rsidRDefault="00CD1E69" w:rsidP="004664E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916"/>
        <w:gridCol w:w="1117"/>
        <w:gridCol w:w="5320"/>
        <w:gridCol w:w="1021"/>
        <w:gridCol w:w="1172"/>
      </w:tblGrid>
      <w:tr w:rsidR="004664E7" w:rsidRPr="00C83AFF" w:rsidTr="00CD1E69">
        <w:trPr>
          <w:trHeight w:val="315"/>
        </w:trPr>
        <w:tc>
          <w:tcPr>
            <w:tcW w:w="7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1009 - ПСИХИЈАТРИЈА - НЕУРОПСИХИЈАТРИЈА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E7" w:rsidRPr="00C83AFF" w:rsidTr="00CD1E69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 26</w:t>
            </w:r>
          </w:p>
        </w:tc>
      </w:tr>
      <w:tr w:rsidR="004664E7" w:rsidRPr="00C83AFF" w:rsidTr="00CD1E69">
        <w:trPr>
          <w:trHeight w:val="64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</w:t>
            </w: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I-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XII  2017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2017.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Прегледи лекара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</w:rPr>
              <w:t>2481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</w:rPr>
              <w:t>3155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1900018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Психијатријски преглед - први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1544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2454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1900018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специјалистичко-консултат. преглед психијатра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1000082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Неуролошки преглед - први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1000082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специјалистичко-консултат. преглед неуролога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</w:rPr>
              <w:t>1317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</w:rPr>
              <w:t>1455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1900026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психичких функција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1900034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Индивидуална психотерапија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1455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1900042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Групна психотерапија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ињекц./ инфилтрација/ апликација лека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 СОЦИЈАЛНОГ РАДНИКА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Здравствено васпитни рад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 васпитни рад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4664E7" w:rsidRPr="00C83AFF" w:rsidTr="00CD1E69">
        <w:trPr>
          <w:trHeight w:val="28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2000207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</w:rPr>
              <w:t>Групни здравствено васпитни рад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 ПСИХОЛОГА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975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1900026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психичких функција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1900034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Индивидуална психотерапија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1900042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Групна психотерапија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</w:rPr>
              <w:t>Здравствено васпитни рад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Индивидуални здравствено васпитни рад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</w:tr>
      <w:tr w:rsidR="004664E7" w:rsidRPr="00C83AFF" w:rsidTr="00CD1E69">
        <w:trPr>
          <w:trHeight w:val="28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2000207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</w:rPr>
              <w:t>Групни здравствено васпитни рад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Радионице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CD1E69">
        <w:trPr>
          <w:trHeight w:val="270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1E69" w:rsidRPr="00C83AFF" w:rsidTr="00CD1E69">
        <w:trPr>
          <w:trHeight w:val="2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69" w:rsidRPr="00C83AFF" w:rsidRDefault="00CD1E69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69" w:rsidRPr="00C83AFF" w:rsidRDefault="00CD1E69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69" w:rsidRPr="00C83AFF" w:rsidRDefault="00CD1E69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69" w:rsidRPr="00C83AFF" w:rsidRDefault="00CD1E69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E69" w:rsidRPr="00C83AFF" w:rsidRDefault="00CD1E69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1E69" w:rsidRPr="00CD1E69" w:rsidRDefault="00CD1E69" w:rsidP="004664E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9372" w:type="dxa"/>
        <w:tblInd w:w="93" w:type="dxa"/>
        <w:tblLook w:val="04A0" w:firstRow="1" w:lastRow="0" w:firstColumn="1" w:lastColumn="0" w:noHBand="0" w:noVBand="1"/>
      </w:tblPr>
      <w:tblGrid>
        <w:gridCol w:w="960"/>
        <w:gridCol w:w="1117"/>
        <w:gridCol w:w="5320"/>
        <w:gridCol w:w="1021"/>
        <w:gridCol w:w="1172"/>
      </w:tblGrid>
      <w:tr w:rsidR="004664E7" w:rsidRPr="00C83AFF" w:rsidTr="00473564">
        <w:trPr>
          <w:trHeight w:val="255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1054 - ДЕРМАТОВЕНЕРОЛОГИЈА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Табела бр. 27</w:t>
            </w:r>
          </w:p>
        </w:tc>
      </w:tr>
      <w:tr w:rsidR="004664E7" w:rsidRPr="00C83AFF" w:rsidTr="0047356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РФЗО</w:t>
            </w: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ШИФРА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РФЗО АТРИБУТ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Извршење</w:t>
            </w: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I-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XII  2017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AF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2017.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Прегледи лекара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6450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2000016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Дерматовенеролошки преглед - први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5759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5670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2000016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Поновни специјалистичко-консултативни преглед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ДИЈАГНОСТИЧКО ТЕРАПИЈСКЕ УСЛУГЕ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2767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Инц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дрен./ исп./одстр.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 упалних процеса - опште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Ексц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одстр. тк</w:t>
            </w:r>
            <w:proofErr w:type="gramStart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дестр./ чишћ. ране/ каутеризација - опште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4630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2761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Медикација/ лок. ињекција/ инфилтрација/ апликација лека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1000173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Завоји/ компресивни завој/ компресија/ тампонада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Узимање материјала за анализу и тестирање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664E7" w:rsidRPr="00C83AFF" w:rsidRDefault="004664E7" w:rsidP="004664E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92" w:type="dxa"/>
        <w:tblInd w:w="78" w:type="dxa"/>
        <w:tblLook w:val="04A0" w:firstRow="1" w:lastRow="0" w:firstColumn="1" w:lastColumn="0" w:noHBand="0" w:noVBand="1"/>
      </w:tblPr>
      <w:tblGrid>
        <w:gridCol w:w="15"/>
        <w:gridCol w:w="2640"/>
        <w:gridCol w:w="38"/>
        <w:gridCol w:w="4382"/>
        <w:gridCol w:w="115"/>
        <w:gridCol w:w="1174"/>
        <w:gridCol w:w="127"/>
        <w:gridCol w:w="1214"/>
        <w:gridCol w:w="87"/>
      </w:tblGrid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315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1019 и 2024 СТОМАТОЛОШКА СЛУЖБА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Табела бр.28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6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РФЗО</w:t>
            </w: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ШИФРE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Извршење I-XII 2017.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2017.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31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ПРЕВЕНТИВА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31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2400018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Прегледи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6190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878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BE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2400125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Уклањање наслага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1839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769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2400075, 2400083,2400091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ЗДРАВСТВЕНО ВАСПИТАЊЕ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1839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747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 ПРЕВЕНТИВА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6677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9868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938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2400026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КУРАТИВА/Прегледи, дијагностика и терапија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821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1088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2400182, 190, 216, 232, 281, 307, 331, 356, 398, 422, 430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Терапија болести зуба са</w:t>
            </w: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ендодонцијом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5374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469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2400539, 547, 1123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Терапија пародонцијума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638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2400679, 687, 802, 588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Хируршка терапија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657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2400943, 2400950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Анестезије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66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2400174, 2400554, 638, 646, 653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Ургентне услуге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</w:t>
            </w:r>
          </w:p>
        </w:tc>
      </w:tr>
      <w:tr w:rsidR="004664E7" w:rsidRPr="00C83AFF" w:rsidTr="00473564">
        <w:trPr>
          <w:gridBefore w:val="1"/>
          <w:gridAfter w:val="1"/>
          <w:wBefore w:w="15" w:type="dxa"/>
          <w:wAfter w:w="87" w:type="dxa"/>
          <w:trHeight w:val="31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664E7" w:rsidRPr="00C83AFF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 СВE УСЛУГE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17371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664E7" w:rsidRPr="00C83AFF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21259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Извршење I-XII 2017.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2017.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2400018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Стоматолошки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преглед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811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2400026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Стоматолошки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преглед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91" w:rsidRPr="00C83AFF" w:rsidRDefault="00BE7391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7391" w:rsidRPr="00C83AFF" w:rsidRDefault="00BE7391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7391" w:rsidRPr="00C83AFF" w:rsidRDefault="00BE7391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1917" w:rsidRDefault="0081191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2400075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91" w:rsidRPr="00C83AFF" w:rsidRDefault="00BE7391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1917" w:rsidRDefault="0081191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Индивидуално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здравствено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васпитни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ординацији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мотивација</w:t>
            </w:r>
          </w:p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3564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3564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обучавање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3564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3564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одржавању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3564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оралне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3564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хигијене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91" w:rsidRPr="00C83AFF" w:rsidRDefault="00BE7391" w:rsidP="00BE73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7391" w:rsidRPr="00C83AFF" w:rsidRDefault="00BE7391" w:rsidP="00BE73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7391" w:rsidRPr="00C83AFF" w:rsidRDefault="00BE7391" w:rsidP="00BE73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1917" w:rsidRDefault="00811917" w:rsidP="00BE73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664E7" w:rsidP="00BE73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91" w:rsidRPr="00C83AFF" w:rsidRDefault="00BE7391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7391" w:rsidRPr="00C83AFF" w:rsidRDefault="00BE7391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7391" w:rsidRPr="00C83AFF" w:rsidRDefault="00BE7391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1917" w:rsidRDefault="0081191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2400083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малој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(6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2400125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Уклањање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наслага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2400174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Прва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помоћ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денталгија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2400182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Терапија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дубоког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каријеса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испуна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2400190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Амалгамски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испун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површини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2400216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Амалгамски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испун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површине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2400232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Амалгамски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испун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површине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2400281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ампутација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E69" w:rsidRDefault="00CD1E69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2400307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Интерсеансно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медикаментозно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канално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пуњење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каналу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E69" w:rsidRDefault="00CD1E69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E69" w:rsidRDefault="00CD1E69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2400331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Композитни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испун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предњим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зубима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2400356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Композитни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испун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бочним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зубима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2400398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Ендодонтска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терапија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инфициране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пулпе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каналу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2400422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Ретретман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каналу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2400430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Гласјономерни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испун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2400539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Уклањање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супрагингивалног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зубног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каменца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вилици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2400547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Обрада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пародонталног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џепа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зубу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2400554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Дренажа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пародонталног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абсцеса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2400638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Лечење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алвеолита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2400646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Интраорална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инцизија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апсцеса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2400653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Заустављање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крварења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2400679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Вађење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2400687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Компликовано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вађење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45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FF" w:rsidRDefault="00C83AFF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3AFF" w:rsidRDefault="00C83AFF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3AFF" w:rsidRDefault="00C83AFF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3AFF" w:rsidRDefault="00C83AFF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2400802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FF" w:rsidRDefault="00C83AFF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3AFF" w:rsidRDefault="00C83AFF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Обука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пацијента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извођење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функционалних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вежби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</w:p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3564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рехабилитацију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3564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темпоро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3564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мандибуларног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3564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зглоба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FF" w:rsidRDefault="00C83AFF" w:rsidP="00C83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3AFF" w:rsidRDefault="00C83AFF" w:rsidP="00C83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3AFF" w:rsidRDefault="00C83AFF" w:rsidP="00C83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3AFF" w:rsidRDefault="00C83AFF" w:rsidP="00C83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664E7" w:rsidP="00C83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FF" w:rsidRDefault="00C83AFF" w:rsidP="00C83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3AFF" w:rsidRDefault="00C83AFF" w:rsidP="00C83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3AFF" w:rsidRDefault="00C83AFF" w:rsidP="00C83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3AFF" w:rsidRDefault="00C83AFF" w:rsidP="00C83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64E7" w:rsidRPr="00C83AFF" w:rsidRDefault="004664E7" w:rsidP="00C83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2400943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Површинска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локална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анестезија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2400588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ортопана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2400950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Инфилтрациона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анестезија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2401123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Каутеризација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ткива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2400091</w:t>
            </w: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великој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групи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664E7" w:rsidRPr="00C83AFF" w:rsidTr="0047356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73564" w:rsidP="0046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Укупно</w:t>
            </w:r>
            <w:r w:rsidR="004664E7" w:rsidRPr="00C8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17371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4E7" w:rsidRPr="00C83AFF" w:rsidRDefault="004664E7" w:rsidP="00466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A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21259</w:t>
            </w:r>
          </w:p>
        </w:tc>
      </w:tr>
    </w:tbl>
    <w:p w:rsidR="004664E7" w:rsidRPr="00C83AFF" w:rsidRDefault="004664E7" w:rsidP="004664E7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4664E7" w:rsidRPr="004664E7" w:rsidRDefault="004664E7" w:rsidP="004664E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664E7">
        <w:rPr>
          <w:noProof/>
        </w:rPr>
        <w:lastRenderedPageBreak/>
        <w:drawing>
          <wp:inline distT="0" distB="0" distL="0" distR="0" wp14:anchorId="0F17B165" wp14:editId="1AFD36F3">
            <wp:extent cx="7913215" cy="6087505"/>
            <wp:effectExtent l="0" t="1587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7934496" cy="610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4E7" w:rsidRPr="004664E7" w:rsidRDefault="00473564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lastRenderedPageBreak/>
        <w:t>II</w:t>
      </w:r>
    </w:p>
    <w:p w:rsidR="004664E7" w:rsidRP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ИЗВРШЕЊЕ ПЛАНА УНАПРЕЂЕЊА РАДА ЗАВОДА</w:t>
      </w:r>
    </w:p>
    <w:p w:rsidR="00433BC1" w:rsidRPr="004664E7" w:rsidRDefault="00433BC1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УНАПРЕЂЕЊЕ ПРЕВЕНТИВНИХ АКТИВНОСТИ ЗАВОДА</w:t>
      </w: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Завод за здравствену заштиту студената Ниш је у току године спровео План превентивних активности за 2017. годину који се темељи на Календару здравља Института за јавно здравље Србије (прилагођеним потребама студената), али и на уоченим и исказаним потребама студентских организација и референтних установа локалне заједнице.</w:t>
      </w:r>
    </w:p>
    <w:p w:rsidR="004664E7" w:rsidRPr="004664E7" w:rsidRDefault="004664E7" w:rsidP="004664E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Кроз форме групног здравствено васпитног рада, промотивних активности, циљаних тематских акција, предавања и радионица у фокус интересовања за 2017. годину стављене су теме:</w:t>
      </w:r>
    </w:p>
    <w:p w:rsidR="004664E7" w:rsidRPr="004664E7" w:rsidRDefault="004664E7" w:rsidP="004664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развојно-психолошки проблеми;</w:t>
      </w:r>
    </w:p>
    <w:p w:rsidR="004664E7" w:rsidRPr="004664E7" w:rsidRDefault="004664E7" w:rsidP="004664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проблеми репродуктивног здравља и полно преносиве болести;</w:t>
      </w:r>
    </w:p>
    <w:p w:rsidR="004664E7" w:rsidRPr="004664E7" w:rsidRDefault="004664E7" w:rsidP="004664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болести зависности;</w:t>
      </w:r>
    </w:p>
    <w:p w:rsidR="004664E7" w:rsidRPr="004664E7" w:rsidRDefault="004664E7" w:rsidP="004664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злостављање и занемаривање;</w:t>
      </w:r>
    </w:p>
    <w:p w:rsidR="004664E7" w:rsidRPr="004664E7" w:rsidRDefault="004664E7" w:rsidP="004664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правилна исхрана;</w:t>
      </w:r>
    </w:p>
    <w:p w:rsidR="004664E7" w:rsidRPr="004664E7" w:rsidRDefault="004664E7" w:rsidP="004664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физичка активност и здрави стилови живота;</w:t>
      </w:r>
    </w:p>
    <w:p w:rsidR="004664E7" w:rsidRDefault="00F7118D" w:rsidP="004664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дефинисање приоритетних индикатора за праћење социо-епидемиолошког и здравственог стања студената ради благовремене израде и спровођења циљаних превентивних програма;</w:t>
      </w:r>
    </w:p>
    <w:p w:rsidR="00F7118D" w:rsidRPr="00F7118D" w:rsidRDefault="00F7118D" w:rsidP="00F711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унапређење здравља и развој свих потенцијала студентске омладине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64E7" w:rsidRPr="004664E7" w:rsidRDefault="004664E7" w:rsidP="004664E7">
      <w:pPr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ПРОЈЕКТНЕ АКТИВНОСТИ</w:t>
      </w:r>
    </w:p>
    <w:p w:rsidR="004664E7" w:rsidRPr="004664E7" w:rsidRDefault="004664E7" w:rsidP="004664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664E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Министарства здравља од 04.08.2017. године, Завод за здравствену заштиту студената Ниш именован је за члана радног тела за спровођење „Заједничке акције за неједнакости у здрављу предвиђене планом рада за 2017. годину у оквиру трећег програма активности Европске уније у области здравства 2014-2020“;</w:t>
      </w:r>
    </w:p>
    <w:p w:rsidR="004664E7" w:rsidRPr="004664E7" w:rsidRDefault="004664E7" w:rsidP="004664E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Завод је активно учествовао у изради Стратегије за безбедност Града Ниша.</w:t>
      </w:r>
    </w:p>
    <w:p w:rsidR="004664E7" w:rsidRDefault="004664E7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C1" w:rsidRPr="00433BC1" w:rsidRDefault="00433BC1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ШИРЕЊЕ МРЕЖЕ ПАРТНЕРА УСПОСТАВЉАЊЕМ САРАДЊЕ СА РЕФЕРЕНТНИМ УСТАНОВАМА</w:t>
      </w:r>
    </w:p>
    <w:p w:rsidR="004664E7" w:rsidRP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664E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Завод је у току године потписао протоколе о сарадњи са високошколским установама са којима их није имао</w:t>
      </w:r>
      <w:r w:rsidR="00C83AFF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:rsidR="004664E7" w:rsidRPr="004664E7" w:rsidRDefault="004664E7" w:rsidP="004664E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Успостављена је сарадња са приватним факултетима и испоставама приватних универзитета на територији града Ниша.</w:t>
      </w:r>
    </w:p>
    <w:p w:rsidR="004664E7" w:rsidRDefault="004664E7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118D" w:rsidRDefault="00F7118D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118D" w:rsidRDefault="00F7118D" w:rsidP="0046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7391" w:rsidRDefault="00BE7391" w:rsidP="00BE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64E7" w:rsidRPr="004664E7" w:rsidRDefault="004664E7" w:rsidP="00BE73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КОНТИНУИРАНА ЕДУКАЦИЈА</w:t>
      </w:r>
    </w:p>
    <w:p w:rsidR="004664E7" w:rsidRPr="004664E7" w:rsidRDefault="004664E7" w:rsidP="004664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BE7391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Здравствени радници, здравствени сарадници и административно особље Завода похађали су едукације и били учесници осталих врста активности у циљу континуираног унапређења знања и упознавања са променама и иновацијама из области својих струка, а у складу са финансијским могућностима Завода.</w:t>
      </w:r>
    </w:p>
    <w:p w:rsidR="004664E7" w:rsidRDefault="004664E7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118D" w:rsidRPr="004664E7" w:rsidRDefault="00F7118D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C5041E" w:rsidP="004664E7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III</w:t>
      </w:r>
    </w:p>
    <w:p w:rsidR="004664E7" w:rsidRPr="004664E7" w:rsidRDefault="004664E7" w:rsidP="004664E7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ИЗВРШЕЊЕ ПЛАНА ЈАВНИХ НАБАВКИ И ИНВЕСТИЦИОНОГ ОДРЖАВАЊА</w:t>
      </w:r>
    </w:p>
    <w:p w:rsidR="004664E7" w:rsidRPr="004664E7" w:rsidRDefault="004664E7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</w:p>
    <w:p w:rsidR="004664E7" w:rsidRPr="004664E7" w:rsidRDefault="004664E7" w:rsidP="004664E7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 јавних набавки и План јавних набавки на које се Закон не примењује за 2017. годину реализован је у обиму оптималном за функционисање Завода у складу са законом и пружање услуга уговорених са Републичким Фондом за здравствено осигурање. Такође, у складу са финансијским могућностима, План је реализован у делу унапређења рада Завода, зановљења опреме у Заводу и куповине добара и извођења радова који представљају текуће и инвестиционо одржавање Завода.</w:t>
      </w:r>
    </w:p>
    <w:p w:rsidR="004664E7" w:rsidRPr="004664E7" w:rsidRDefault="004664E7" w:rsidP="004664E7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 је реализован до уговорених вредности са РФЗО у набавци лекова, санитетског материјала, лабораторијског и стоматолошког потрошног материјала и за набавке и плаћање услуга које се подводе под материјални трошкови и трошкови за енергенте.</w:t>
      </w:r>
    </w:p>
    <w:p w:rsidR="004664E7" w:rsidRPr="004664E7" w:rsidRDefault="004664E7" w:rsidP="004664E7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Реализоване су набавке које се односе на унапређење превентивних активности Завода (израда промо материјала и повећања обима рада на терену).</w:t>
      </w:r>
    </w:p>
    <w:p w:rsidR="004664E7" w:rsidRPr="004664E7" w:rsidRDefault="004664E7" w:rsidP="004664E7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BE7391" w:rsidRDefault="004664E7" w:rsidP="00BE7391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Што се тиче медицинске опреме, купљено је:</w:t>
      </w:r>
    </w:p>
    <w:p w:rsidR="004664E7" w:rsidRPr="004664E7" w:rsidRDefault="004664E7" w:rsidP="004664E7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Боца за течни азот;</w:t>
      </w:r>
    </w:p>
    <w:p w:rsidR="004664E7" w:rsidRPr="004664E7" w:rsidRDefault="004664E7" w:rsidP="004664E7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Микроскоп;</w:t>
      </w:r>
    </w:p>
    <w:p w:rsidR="004664E7" w:rsidRPr="004664E7" w:rsidRDefault="004664E7" w:rsidP="004664E7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Аутоматска варијабилна микропипета (100-1000 </w:t>
      </w:r>
      <w:r w:rsidR="00473564">
        <w:rPr>
          <w:rFonts w:ascii="Times New Roman" w:eastAsia="Times New Roman" w:hAnsi="Times New Roman" w:cs="Times New Roman"/>
          <w:sz w:val="24"/>
          <w:szCs w:val="24"/>
          <w:lang w:val="sr-Latn-CS"/>
        </w:rPr>
        <w:t>ул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аутоклавијабилна;</w:t>
      </w:r>
    </w:p>
    <w:p w:rsidR="004664E7" w:rsidRPr="004664E7" w:rsidRDefault="004664E7" w:rsidP="004664E7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Мешалица за крвне узорке;</w:t>
      </w:r>
    </w:p>
    <w:p w:rsidR="004664E7" w:rsidRPr="004664E7" w:rsidRDefault="004664E7" w:rsidP="004664E7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2 отомана.</w:t>
      </w:r>
    </w:p>
    <w:p w:rsidR="004664E7" w:rsidRPr="004664E7" w:rsidRDefault="004664E7" w:rsidP="004664E7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BE7391" w:rsidRDefault="004664E7" w:rsidP="00BE7391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Планирано инвестиционо одржавање је реализовано у следећем:</w:t>
      </w:r>
    </w:p>
    <w:p w:rsidR="004664E7" w:rsidRPr="004664E7" w:rsidRDefault="004664E7" w:rsidP="004664E7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Замена дела столарије (9 прозора на амбуланти у ул. Булевар др Зорана Ђинђића)</w:t>
      </w:r>
    </w:p>
    <w:p w:rsidR="004664E7" w:rsidRPr="004664E7" w:rsidRDefault="004664E7" w:rsidP="004664E7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Фасадерски радови – такође на амбуланти у ул. Булевар др Зорана Ђинђића       (набавка реализована до фазе потписаног уговора – извођач радова се уговором обавезао да радови отпочну најкасније 1. априла 2018. године).  </w:t>
      </w:r>
    </w:p>
    <w:p w:rsidR="004664E7" w:rsidRPr="004664E7" w:rsidRDefault="004664E7" w:rsidP="004664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664E7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64E7" w:rsidRDefault="004664E7" w:rsidP="004664E7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BE7391" w:rsidRDefault="00BE7391" w:rsidP="004664E7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BE7391" w:rsidRPr="00BE7391" w:rsidRDefault="00BE7391" w:rsidP="004664E7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Израдио:</w:t>
      </w:r>
    </w:p>
    <w:p w:rsidR="004664E7" w:rsidRPr="004664E7" w:rsidRDefault="004664E7" w:rsidP="004664E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4664E7" w:rsidRPr="004664E7" w:rsidRDefault="004664E7" w:rsidP="004664E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________________</w:t>
      </w:r>
    </w:p>
    <w:p w:rsidR="00BE7391" w:rsidRPr="00811917" w:rsidRDefault="004664E7" w:rsidP="00811917">
      <w:pPr>
        <w:spacing w:after="0" w:line="240" w:lineRule="auto"/>
        <w:ind w:left="5400" w:firstLine="36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Братислав Бечејски</w:t>
      </w:r>
    </w:p>
    <w:p w:rsidR="004664E7" w:rsidRPr="004664E7" w:rsidRDefault="00C5041E" w:rsidP="004664E7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</w:t>
      </w:r>
    </w:p>
    <w:p w:rsidR="004664E7" w:rsidRP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ИЗВЕШТАЈ О ФИНАНСИЈСКОМ ПОСЛОВАЊУ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proofErr w:type="gramEnd"/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:rsidR="004664E7" w:rsidRP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4664E7" w:rsidRPr="004664E7" w:rsidRDefault="004664E7" w:rsidP="0046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4664E7" w:rsidRPr="00C5041E" w:rsidRDefault="00C5041E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I 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ПРИХОДИ, РАСХОДИ, ПРИМАЊА, ИЗДАЦИ,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</w:rPr>
        <w:t>ПОТРАЖИВАЊА,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ОБАВЕ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ЗЕ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664E7">
        <w:rPr>
          <w:rFonts w:ascii="Times New Roman" w:eastAsia="Times New Roman" w:hAnsi="Times New Roman" w:cs="Times New Roman"/>
          <w:sz w:val="24"/>
          <w:szCs w:val="24"/>
        </w:rPr>
        <w:t>У 2017.</w:t>
      </w:r>
      <w:proofErr w:type="gramEnd"/>
      <w:r w:rsidR="00976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64E7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End"/>
      <w:r w:rsidRPr="004664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6229">
        <w:rPr>
          <w:rFonts w:ascii="Times New Roman" w:eastAsia="Times New Roman" w:hAnsi="Times New Roman" w:cs="Times New Roman"/>
          <w:sz w:val="24"/>
          <w:szCs w:val="24"/>
        </w:rPr>
        <w:t xml:space="preserve"> Завод је оствариo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укупне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>приходе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у износу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>48859523.37</w:t>
      </w:r>
      <w:proofErr w:type="gramStart"/>
      <w:r w:rsidR="0097622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укупне</w:t>
      </w:r>
      <w:proofErr w:type="gramEnd"/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>расходе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>48147192.74</w:t>
      </w:r>
      <w:r w:rsidR="0097622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укупне издатке за куповину основних средстава у износу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>859104.00</w:t>
      </w:r>
      <w:r w:rsidR="0097622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 Средства за посебне намене (средства амортизације</w:t>
      </w:r>
      <w:proofErr w:type="gramStart"/>
      <w:r w:rsidRPr="004664E7">
        <w:rPr>
          <w:rFonts w:ascii="Times New Roman" w:eastAsia="Times New Roman" w:hAnsi="Times New Roman" w:cs="Times New Roman"/>
          <w:sz w:val="24"/>
          <w:szCs w:val="24"/>
        </w:rPr>
        <w:t>)  коришћена</w:t>
      </w:r>
      <w:proofErr w:type="gramEnd"/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 за куповину основних средстава у износу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>324399.38</w:t>
      </w:r>
      <w:r w:rsidR="00976229">
        <w:rPr>
          <w:rFonts w:ascii="Times New Roman" w:eastAsia="Times New Roman" w:hAnsi="Times New Roman" w:cs="Times New Roman"/>
          <w:sz w:val="24"/>
          <w:szCs w:val="24"/>
        </w:rPr>
        <w:t xml:space="preserve"> дин</w:t>
      </w:r>
      <w:r w:rsidR="00CD1E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6229">
        <w:rPr>
          <w:rFonts w:ascii="Times New Roman" w:eastAsia="Times New Roman" w:hAnsi="Times New Roman" w:cs="Times New Roman"/>
          <w:sz w:val="24"/>
          <w:szCs w:val="24"/>
        </w:rPr>
        <w:t xml:space="preserve"> - корекција суфицита</w:t>
      </w:r>
      <w:r w:rsidRPr="004664E7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Завод је остварио вишак </w:t>
      </w:r>
      <w:proofErr w:type="gramStart"/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>прихода  и</w:t>
      </w:r>
      <w:proofErr w:type="gramEnd"/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примања над расходима и издацима  тј. </w:t>
      </w:r>
      <w:proofErr w:type="gramStart"/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>остварен</w:t>
      </w:r>
      <w:proofErr w:type="gramEnd"/>
      <w:r w:rsidRPr="004664E7">
        <w:rPr>
          <w:rFonts w:ascii="Times New Roman" w:eastAsia="Times New Roman" w:hAnsi="Times New Roman" w:cs="Times New Roman"/>
          <w:b/>
          <w:sz w:val="24"/>
          <w:szCs w:val="24"/>
        </w:rPr>
        <w:t xml:space="preserve"> је вишак прихода – суфицит у износу 177626.01 дин.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4E7" w:rsidRPr="004664E7" w:rsidRDefault="00976229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</w:rPr>
        <w:t xml:space="preserve"> ПОТРАЖИВАЊА</w:t>
      </w:r>
      <w:proofErr w:type="gramEnd"/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Укупна потраживања на дан 31.12.2017. год. износе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4.930.027,77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дин.(потраживања од фондова,  РФЗО, запослених и остала потраживања) и то: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Остала краткорочна потраживања                                                                            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21.353,00 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Спорна потраживања од РФЗО из 2012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2.491.105,05</w:t>
      </w:r>
    </w:p>
    <w:p w:rsidR="004664E7" w:rsidRPr="004664E7" w:rsidRDefault="00976229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Потраживања од РФЗО </w:t>
      </w:r>
      <w:r w:rsidR="004664E7"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2014</w:t>
      </w:r>
      <w:r w:rsidR="00CD1E6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4664E7"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</w:t>
      </w:r>
      <w:r w:rsidR="004664E7"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88.038,87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Потраживања ОД  РФЗО  -СТОМАТОЛОГИЈА                                                    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378.863,00    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Потраживања од РФЗО – ПРИМАРНА                                                                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1.737.454,00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Потраживања од фондова – Породиљско боловање                                               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213.213,85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64E7" w:rsidRPr="004664E7" w:rsidRDefault="00976229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III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ОБАВЕЗЕ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Завода према добављачима на дан 31.12.2017. год. износе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619.519,83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4664E7" w:rsidRPr="00976229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Завода према запосленима  за бруто зараде са доприносима на терет послодавца  износе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2135914.32 (други део X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/2017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и разлика 5% X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/2015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)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Обавезе за ПДВ износе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154967,00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4664E7" w:rsidRPr="00976229" w:rsidRDefault="00976229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Обавезе према бу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џ</w:t>
      </w:r>
      <w:r w:rsidR="004664E7"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етском фонду – запошљавање инвалида износе 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32.804,50 динара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4664E7" w:rsidRPr="00976229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Обавезе по ауторском уговору  - за софтвер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14.360,00 динара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4664E7" w:rsidRPr="00976229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Обавеза за авансе према РФЗО износе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186752,35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4664E7" w:rsidRPr="00976229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Обавезе за боловање преко 30 дана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112283,23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4664E7" w:rsidRPr="00976229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Обавезе за породиљско боловање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213213,86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УКУПНЕ ОБАВЕЗЕ ЗАВОДА НА ДАН 31.12.2017 ИЗНОСЕ               3,469.815.08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Што се тиче укупних обавеза може се рећи следеће:                                                                                              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97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Обавезе за зараде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запосленима се редовно исплаћују а наведена обавеза у износу 2135914.32 се односи на разлику зараде за децембар 2015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то повећање плата од 5% и други део плате за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децембар 2017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>што је обавеза РФЗО.  Што се ти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е зарада такође треба напоменути да у Заводу нема неисплаћених заосталих зарада нити кашњења у исплати зарада.</w:t>
      </w:r>
    </w:p>
    <w:p w:rsidR="004664E7" w:rsidRPr="00976229" w:rsidRDefault="004664E7" w:rsidP="00976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Обавеза према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бу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џ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етском фонду –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за запошљавање инвалида у износу 32804.50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 је такође обавеза РФЗО  а односи се на месец децембар 2017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чији је рок за плаћање јануар 2017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наведене обавезе се редовно измирују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Највећи успех у 2017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постигнут је у измиривању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о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бавеза према добављачима</w:t>
      </w:r>
      <w:r w:rsidR="0097622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крају 2017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дуговања према добављачима износе 619519.83 динара  ди</w:t>
      </w:r>
      <w:r w:rsidR="002F72B2">
        <w:rPr>
          <w:rFonts w:ascii="Times New Roman" w:eastAsia="Times New Roman" w:hAnsi="Times New Roman" w:cs="Times New Roman"/>
          <w:sz w:val="24"/>
          <w:szCs w:val="24"/>
          <w:lang w:val="sr-Latn-CS"/>
        </w:rPr>
        <w:t>нара и у највећем делу се однос</w:t>
      </w:r>
      <w:r w:rsidR="002F72B2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недоспел</w:t>
      </w:r>
      <w:r w:rsidR="002F72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е обавезе на крају 2017. </w:t>
      </w:r>
      <w:r w:rsidR="002F72B2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F72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а однос</w:t>
      </w:r>
      <w:r w:rsidR="002F72B2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се на следеће добављаче: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65"/>
        <w:gridCol w:w="2015"/>
      </w:tblGrid>
      <w:tr w:rsidR="004664E7" w:rsidRPr="004664E7" w:rsidTr="00473564">
        <w:tc>
          <w:tcPr>
            <w:tcW w:w="6765" w:type="dxa"/>
          </w:tcPr>
          <w:p w:rsidR="004664E7" w:rsidRPr="00976229" w:rsidRDefault="00976229" w:rsidP="004664E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Дунав Београд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226057.08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Електродистрибуција Ниш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22836.23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Телеком Београд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20619.64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СББ Београд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3840.00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Брацина перионица Ниш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13220.00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ЈКП Обједињена наплата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26298.00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Трен Ниш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26791.58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Нишстан Ниш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12323.02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Легро Ниш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0.20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Неомедика Ниш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36486.00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976229" w:rsidP="00466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В</w:t>
            </w:r>
            <w:r w:rsidR="004664E7" w:rsidRPr="004664E7">
              <w:rPr>
                <w:sz w:val="24"/>
                <w:szCs w:val="24"/>
              </w:rPr>
              <w:t>инер Ниш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8000.00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Брокер Ниш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33451.20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Атлантис Ниш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51357.60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Параграф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26895.00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Интер аман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2.23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Електронски факултет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35112.00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Јаков рачунари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24252.50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 xml:space="preserve">Вега 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13975.50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Фармалогист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36986.95</w:t>
            </w:r>
          </w:p>
        </w:tc>
      </w:tr>
      <w:tr w:rsidR="004664E7" w:rsidRPr="004664E7" w:rsidTr="00473564">
        <w:tc>
          <w:tcPr>
            <w:tcW w:w="6765" w:type="dxa"/>
          </w:tcPr>
          <w:p w:rsidR="004664E7" w:rsidRPr="004664E7" w:rsidRDefault="004664E7" w:rsidP="004664E7">
            <w:pPr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АС Велпро</w:t>
            </w:r>
          </w:p>
        </w:tc>
        <w:tc>
          <w:tcPr>
            <w:tcW w:w="2015" w:type="dxa"/>
          </w:tcPr>
          <w:p w:rsidR="004664E7" w:rsidRPr="004664E7" w:rsidRDefault="004664E7" w:rsidP="004664E7">
            <w:pPr>
              <w:jc w:val="right"/>
              <w:rPr>
                <w:sz w:val="24"/>
                <w:szCs w:val="24"/>
              </w:rPr>
            </w:pPr>
            <w:r w:rsidRPr="004664E7">
              <w:rPr>
                <w:sz w:val="24"/>
                <w:szCs w:val="24"/>
              </w:rPr>
              <w:t>1015.10</w:t>
            </w:r>
          </w:p>
        </w:tc>
      </w:tr>
    </w:tbl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Обавеза за порез на додату вредност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се односи на створену обавезу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период октобар – децембар 2017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2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</w:t>
      </w:r>
      <w:r w:rsidR="002F72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чији је 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Latn-CS"/>
        </w:rPr>
        <w:t>рок за уплату 20.01.2017. годин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обавеза је измирена у року.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976229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Обавеза за ауторски уговор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односи се на програм за финансије и рачуноводство</w:t>
      </w:r>
      <w:r w:rsidR="0097622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Обавеза за авансе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у износу 186752.35 динара је обавеза по коначном обрачуну са РФЗО за одређене намене из уговора  а ова обавеза је у потпуности покриван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 новчаним средствима на жиро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рачуну.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Што се тиче свих обавеза можемо слободно рећи да за обавезе према 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запосленима и обавезе према бу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џ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етском фонду извор средстава је РФЗО а све остале обавезе извор средстава је обезбеђен из 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новчаних средстава на рачунима 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станове или се об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езбеђује из редовног пословања 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станове.</w:t>
      </w:r>
      <w:r w:rsidR="002F72B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Такође можемо закључити да је </w:t>
      </w:r>
      <w:r w:rsidR="002F72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станова апсолутно ликвидна, тј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да у сваком моменту може да о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дговори свим доспелим обавезама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 установи су обезбеђени сви неопходни санитетски,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медицински, стоматолошки материјали као и ампулирана терапија, која је неопходна за лечење студената као и потребна медицинска документација.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B53855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IV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НОВЧАНА СРЕДСТВА И АВАНСИ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Дати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аванси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следећим добављачима: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ЈП ПТТ Србија                                                                                                      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2806,89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НИС Југопетрол                                                                                                  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11431,77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Сервис Милан                                                                                                         1380.00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Техником информатика                                                                                         5280.00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 о г о Ниш                                                                                                       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222600.00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Укупно                                                                                                          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   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243498.00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64E7" w:rsidRPr="004664E7" w:rsidRDefault="00B53855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Стање средстава на жиро </w:t>
      </w:r>
      <w:r w:rsidR="004664E7"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рачунима 31.12.2017.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Рачун буџетских средстава                                                                                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172.479,38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Рачун сопствених средстава                                                                                 481.465,59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Рачун боловања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215.770,71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sz w:val="24"/>
          <w:szCs w:val="24"/>
          <w:lang w:val="sr-Latn-CS"/>
        </w:rPr>
        <w:t>Рачун Плате-Превоз                                                                                                        6,77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Укупно                                                                                                                </w:t>
      </w:r>
      <w:r w:rsidR="00B5385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  </w:t>
      </w:r>
      <w:r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869.722,45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64E7" w:rsidRPr="004664E7" w:rsidRDefault="00B53855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V </w:t>
      </w:r>
      <w:r w:rsidR="004664E7" w:rsidRPr="004664E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ОБРАЧУН НАКНАДЕ, ОБАВЕЗЕ И АВАНСИ СА РФЗО</w:t>
      </w:r>
    </w:p>
    <w:p w:rsidR="004664E7" w:rsidRPr="004664E7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tbl>
      <w:tblPr>
        <w:tblW w:w="9109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774"/>
        <w:gridCol w:w="774"/>
        <w:gridCol w:w="774"/>
        <w:gridCol w:w="775"/>
        <w:gridCol w:w="283"/>
        <w:gridCol w:w="237"/>
        <w:gridCol w:w="4717"/>
      </w:tblGrid>
      <w:tr w:rsidR="004A4010" w:rsidRPr="004A4010" w:rsidTr="00CF37AF">
        <w:trPr>
          <w:trHeight w:val="2208"/>
        </w:trPr>
        <w:tc>
          <w:tcPr>
            <w:tcW w:w="9109" w:type="dxa"/>
            <w:gridSpan w:val="8"/>
            <w:shd w:val="clear" w:color="auto" w:fill="auto"/>
            <w:noWrap/>
            <w:vAlign w:val="bottom"/>
          </w:tcPr>
          <w:p w:rsidR="004A4010" w:rsidRPr="004A4010" w:rsidRDefault="004A4010" w:rsidP="004A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току редовног </w:t>
            </w:r>
            <w:proofErr w:type="gramStart"/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годишњег  пописа</w:t>
            </w:r>
            <w:proofErr w:type="gramEnd"/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потраживања и обавеза за 2017. </w:t>
            </w:r>
            <w:proofErr w:type="gramStart"/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годину</w:t>
            </w:r>
            <w:proofErr w:type="gramEnd"/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спрово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ен је коначни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обрачун припадајуће накнаде по уговору за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спроведеног коначног обрачуна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припадајуће накнаде по Уговору за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годину и спроведених завршних књижења по КОНЗУ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стање потраживања и обавеза са РФЗО је следеће: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4155" w:type="dxa"/>
            <w:gridSpan w:val="6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Спорна потраживања из 2012</w:t>
            </w:r>
            <w:r w:rsid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(стоматолошка здрав. заштита)</w:t>
            </w: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2491105,05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2323" w:type="dxa"/>
            <w:gridSpan w:val="3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спорна потраживања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2491105,05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4155" w:type="dxa"/>
            <w:gridSpan w:val="6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Потраживања за директне и индиректне тр</w:t>
            </w:r>
            <w:r w:rsid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ошкове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стом. </w:t>
            </w:r>
            <w:proofErr w:type="gramStart"/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</w:t>
            </w:r>
            <w:r w:rsid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године</w:t>
            </w: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88038,87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097" w:type="dxa"/>
            <w:gridSpan w:val="4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потраживање из 2014</w:t>
            </w:r>
            <w:r w:rsid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године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88038,87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872" w:type="dxa"/>
            <w:gridSpan w:val="5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Потраживања за плате у примарној ЗЗ 2017</w:t>
            </w:r>
            <w:r w:rsid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године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1666705,00</w:t>
            </w:r>
          </w:p>
        </w:tc>
      </w:tr>
      <w:tr w:rsidR="004664E7" w:rsidRPr="004A4010" w:rsidTr="004A4010">
        <w:trPr>
          <w:trHeight w:val="255"/>
        </w:trPr>
        <w:tc>
          <w:tcPr>
            <w:tcW w:w="3872" w:type="dxa"/>
            <w:gridSpan w:val="5"/>
            <w:shd w:val="clear" w:color="auto" w:fill="auto"/>
            <w:noWrap/>
            <w:vAlign w:val="bottom"/>
          </w:tcPr>
          <w:p w:rsidR="004664E7" w:rsidRPr="004A4010" w:rsidRDefault="004A4010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Потраживања за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џ</w:t>
            </w:r>
            <w:r w:rsidR="004664E7"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 фонд инвалида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4664E7"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године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32805,00</w:t>
            </w:r>
          </w:p>
        </w:tc>
      </w:tr>
      <w:tr w:rsidR="004664E7" w:rsidRPr="004A4010" w:rsidTr="004A4010">
        <w:trPr>
          <w:trHeight w:val="255"/>
        </w:trPr>
        <w:tc>
          <w:tcPr>
            <w:tcW w:w="3872" w:type="dxa"/>
            <w:gridSpan w:val="5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Потрживања за остале материјалне трошкове 2017</w:t>
            </w:r>
            <w:r w:rsid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37944,00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4155" w:type="dxa"/>
            <w:gridSpan w:val="6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потраживања од РФЗО</w:t>
            </w:r>
            <w:r w:rsid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ПРИМАРНА ЗЗ за 2017</w:t>
            </w: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1737454,00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4155" w:type="dxa"/>
            <w:gridSpan w:val="6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Потраживања за плате у стоматолошкој ЗЗ 2017</w:t>
            </w:r>
            <w:r w:rsid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године</w:t>
            </w: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362729,00</w:t>
            </w:r>
          </w:p>
        </w:tc>
      </w:tr>
      <w:tr w:rsidR="004664E7" w:rsidRPr="004A4010" w:rsidTr="004A4010">
        <w:trPr>
          <w:trHeight w:val="255"/>
        </w:trPr>
        <w:tc>
          <w:tcPr>
            <w:tcW w:w="4155" w:type="dxa"/>
            <w:gridSpan w:val="6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Потраживања за остале трошкове у стоматолошкој ЗЗ 2017</w:t>
            </w:r>
            <w:r w:rsid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године</w:t>
            </w: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16134,00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4155" w:type="dxa"/>
            <w:gridSpan w:val="6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потраживања од РФЗО</w:t>
            </w:r>
            <w:r w:rsid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СТОМАТОЛОШКА ЗЗ за 2017</w:t>
            </w:r>
            <w:r w:rsid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378863,00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2323" w:type="dxa"/>
            <w:gridSpan w:val="3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ОБАВЕЗЕ ЗА АВАНСЕ 2017</w:t>
            </w:r>
            <w:r w:rsid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9109" w:type="dxa"/>
            <w:gridSpan w:val="8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пословању по Уговору 2017</w:t>
            </w:r>
            <w:r w:rsid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са РФЗО постоје следеће обавезе за авансе 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097" w:type="dxa"/>
            <w:gridSpan w:val="4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Обавезе за авансе за лекове - примарна 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8678,65</w:t>
            </w:r>
          </w:p>
        </w:tc>
      </w:tr>
      <w:tr w:rsidR="004664E7" w:rsidRPr="004A4010" w:rsidTr="004A4010">
        <w:trPr>
          <w:trHeight w:val="255"/>
        </w:trPr>
        <w:tc>
          <w:tcPr>
            <w:tcW w:w="3872" w:type="dxa"/>
            <w:gridSpan w:val="5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Обавезе за авансе за санитетски материјал - примарна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92570,00</w:t>
            </w:r>
          </w:p>
        </w:tc>
      </w:tr>
      <w:tr w:rsidR="004664E7" w:rsidRPr="004A4010" w:rsidTr="004A4010">
        <w:trPr>
          <w:trHeight w:val="255"/>
        </w:trPr>
        <w:tc>
          <w:tcPr>
            <w:tcW w:w="3872" w:type="dxa"/>
            <w:gridSpan w:val="5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 за авансе за Енергенте - примарна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85503,7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097" w:type="dxa"/>
            <w:gridSpan w:val="4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обавеза за авансе - примарна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186752,35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872" w:type="dxa"/>
            <w:gridSpan w:val="5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Уупна обавеза за авансе - стоматолошка ЗЗ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4155" w:type="dxa"/>
            <w:gridSpan w:val="6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Фактурисана реализација после спроведеног КОНЗУ ПЗЗ</w:t>
            </w: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40442673,02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4155" w:type="dxa"/>
            <w:gridSpan w:val="6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Фактурисана реализација</w:t>
            </w:r>
            <w:r w:rsid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стоматолошка здравствена заштита </w:t>
            </w: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8843665,28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872" w:type="dxa"/>
            <w:gridSpan w:val="5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ФАКТУРИСАНА РЕАЛИЗАЦИЈА 2017</w:t>
            </w:r>
            <w:r w:rsid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49286338,30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097" w:type="dxa"/>
            <w:gridSpan w:val="4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ПРЕНЕТА СРЕДСТВА У 2017</w:t>
            </w:r>
            <w:r w:rsid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ГОДИНИ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097" w:type="dxa"/>
            <w:gridSpan w:val="4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средства по почетном стању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186295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097" w:type="dxa"/>
            <w:gridSpan w:val="4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538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средства по уговору 2017</w:t>
            </w:r>
            <w:r w:rsid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46868529,13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872" w:type="dxa"/>
            <w:gridSpan w:val="5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Пренета средства за боловање преко 30 дана </w:t>
            </w:r>
            <w:r w:rsid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Ниш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1139086,48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4155" w:type="dxa"/>
            <w:gridSpan w:val="6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Пренета средства за боловање преко 30 дана </w:t>
            </w:r>
            <w:r w:rsidR="004A40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Прокупље</w:t>
            </w: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117372,53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097" w:type="dxa"/>
            <w:gridSpan w:val="4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средства - програм рационализације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664E7" w:rsidRPr="004A4010" w:rsidTr="004A4010">
        <w:trPr>
          <w:trHeight w:val="255"/>
        </w:trPr>
        <w:tc>
          <w:tcPr>
            <w:tcW w:w="775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4E7" w:rsidRPr="004A4010" w:rsidTr="004A4010">
        <w:trPr>
          <w:trHeight w:val="255"/>
        </w:trPr>
        <w:tc>
          <w:tcPr>
            <w:tcW w:w="3097" w:type="dxa"/>
            <w:gridSpan w:val="4"/>
            <w:shd w:val="clear" w:color="auto" w:fill="auto"/>
            <w:noWrap/>
            <w:vAlign w:val="bottom"/>
          </w:tcPr>
          <w:p w:rsidR="004664E7" w:rsidRPr="00B53855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 ПРЕНЕТА СРЕДСТВА 2017</w:t>
            </w:r>
            <w:r w:rsid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noWrap/>
            <w:vAlign w:val="bottom"/>
          </w:tcPr>
          <w:p w:rsidR="004664E7" w:rsidRPr="004A4010" w:rsidRDefault="004664E7" w:rsidP="0046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48311283,14</w:t>
            </w:r>
          </w:p>
        </w:tc>
      </w:tr>
    </w:tbl>
    <w:p w:rsidR="004664E7" w:rsidRPr="00B53855" w:rsidRDefault="004664E7" w:rsidP="00466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5385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                                         </w:t>
      </w:r>
    </w:p>
    <w:p w:rsidR="004664E7" w:rsidRPr="00B53855" w:rsidRDefault="004664E7" w:rsidP="004664E7">
      <w:pPr>
        <w:tabs>
          <w:tab w:val="left" w:pos="42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664E7" w:rsidRPr="00B53855" w:rsidRDefault="004664E7" w:rsidP="004664E7">
      <w:pPr>
        <w:tabs>
          <w:tab w:val="left" w:pos="423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>Израдио:</w:t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664E7" w:rsidRPr="00B53855" w:rsidRDefault="004664E7" w:rsidP="004664E7">
      <w:pPr>
        <w:tabs>
          <w:tab w:val="left" w:pos="3180"/>
        </w:tabs>
        <w:rPr>
          <w:rFonts w:ascii="Times New Roman" w:hAnsi="Times New Roman" w:cs="Times New Roman"/>
          <w:sz w:val="24"/>
          <w:szCs w:val="24"/>
          <w:lang w:val="sr-Latn-CS"/>
        </w:rPr>
      </w:pP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>Радослав Малетић</w:t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4010" w:rsidRDefault="004664E7" w:rsidP="004664E7">
      <w:pPr>
        <w:ind w:left="576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53855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385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4A40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bookmarkStart w:id="0" w:name="_GoBack"/>
      <w:bookmarkEnd w:id="0"/>
      <w:r w:rsidR="004A40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A40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A40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A40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A40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4A4010" w:rsidRDefault="004A4010" w:rsidP="004664E7">
      <w:pPr>
        <w:ind w:left="576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3BC1" w:rsidRDefault="00433BC1" w:rsidP="00433BC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664E7" w:rsidRPr="004664E7" w:rsidRDefault="004664E7" w:rsidP="004664E7">
      <w:pPr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</w:p>
    <w:p w:rsidR="004664E7" w:rsidRPr="004664E7" w:rsidRDefault="004664E7" w:rsidP="004664E7">
      <w:pPr>
        <w:ind w:left="288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64E7" w:rsidRPr="004664E7" w:rsidRDefault="004664E7" w:rsidP="00433BC1">
      <w:pPr>
        <w:ind w:left="360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Завод за здравствену заштиту студената Ниш</w:t>
      </w:r>
    </w:p>
    <w:p w:rsidR="004664E7" w:rsidRPr="004664E7" w:rsidRDefault="00433BC1" w:rsidP="00433BC1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664E7"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4664E7"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2F72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664E7"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4664E7" w:rsidRPr="004664E7" w:rsidRDefault="004664E7" w:rsidP="004664E7">
      <w:pPr>
        <w:ind w:left="43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  <w:r w:rsidR="002F72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________________</w:t>
      </w:r>
    </w:p>
    <w:p w:rsidR="004664E7" w:rsidRPr="004664E7" w:rsidRDefault="004664E7" w:rsidP="004664E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</w:t>
      </w:r>
      <w:r w:rsidRPr="004664E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433B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F72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664E7">
        <w:rPr>
          <w:rFonts w:ascii="Times New Roman" w:hAnsi="Times New Roman" w:cs="Times New Roman"/>
          <w:b/>
          <w:sz w:val="24"/>
          <w:szCs w:val="24"/>
          <w:lang w:val="sr-Cyrl-CS"/>
        </w:rPr>
        <w:t>др Радомир Пешић</w:t>
      </w:r>
    </w:p>
    <w:p w:rsidR="004664E7" w:rsidRPr="004664E7" w:rsidRDefault="004664E7" w:rsidP="004664E7">
      <w:pPr>
        <w:tabs>
          <w:tab w:val="left" w:pos="4470"/>
          <w:tab w:val="left" w:pos="6165"/>
        </w:tabs>
        <w:rPr>
          <w:rFonts w:ascii="Times New Roman" w:hAnsi="Times New Roman" w:cs="Times New Roman"/>
          <w:sz w:val="24"/>
          <w:szCs w:val="24"/>
          <w:lang w:val="sr-Latn-CS"/>
        </w:rPr>
      </w:pPr>
      <w:r w:rsidRPr="004664E7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4664E7" w:rsidRPr="00275379" w:rsidRDefault="004664E7" w:rsidP="0052590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4664E7" w:rsidRPr="00275379" w:rsidSect="00B25441">
      <w:footerReference w:type="default" r:id="rId11"/>
      <w:pgSz w:w="12240" w:h="15840"/>
      <w:pgMar w:top="1440" w:right="567" w:bottom="1440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87" w:rsidRDefault="00512E87" w:rsidP="00275379">
      <w:pPr>
        <w:spacing w:after="0" w:line="240" w:lineRule="auto"/>
      </w:pPr>
      <w:r>
        <w:separator/>
      </w:r>
    </w:p>
  </w:endnote>
  <w:endnote w:type="continuationSeparator" w:id="0">
    <w:p w:rsidR="00512E87" w:rsidRDefault="00512E87" w:rsidP="0027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83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43D65" w:rsidRPr="00B25441" w:rsidRDefault="00743D65">
        <w:pPr>
          <w:pStyle w:val="Footer"/>
          <w:jc w:val="center"/>
          <w:rPr>
            <w:rFonts w:ascii="Times New Roman" w:hAnsi="Times New Roman" w:cs="Times New Roman"/>
          </w:rPr>
        </w:pPr>
        <w:r w:rsidRPr="00B25441">
          <w:rPr>
            <w:rFonts w:ascii="Times New Roman" w:hAnsi="Times New Roman" w:cs="Times New Roman"/>
          </w:rPr>
          <w:fldChar w:fldCharType="begin"/>
        </w:r>
        <w:r w:rsidRPr="00B25441">
          <w:rPr>
            <w:rFonts w:ascii="Times New Roman" w:hAnsi="Times New Roman" w:cs="Times New Roman"/>
          </w:rPr>
          <w:instrText xml:space="preserve"> PAGE   \* MERGEFORMAT </w:instrText>
        </w:r>
        <w:r w:rsidRPr="00B25441">
          <w:rPr>
            <w:rFonts w:ascii="Times New Roman" w:hAnsi="Times New Roman" w:cs="Times New Roman"/>
          </w:rPr>
          <w:fldChar w:fldCharType="separate"/>
        </w:r>
        <w:r w:rsidR="002F72B2">
          <w:rPr>
            <w:rFonts w:ascii="Times New Roman" w:hAnsi="Times New Roman" w:cs="Times New Roman"/>
            <w:noProof/>
          </w:rPr>
          <w:t>23</w:t>
        </w:r>
        <w:r w:rsidRPr="00B2544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43D65" w:rsidRDefault="00743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87" w:rsidRDefault="00512E87" w:rsidP="00275379">
      <w:pPr>
        <w:spacing w:after="0" w:line="240" w:lineRule="auto"/>
      </w:pPr>
      <w:r>
        <w:separator/>
      </w:r>
    </w:p>
  </w:footnote>
  <w:footnote w:type="continuationSeparator" w:id="0">
    <w:p w:rsidR="00512E87" w:rsidRDefault="00512E87" w:rsidP="0027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C2E"/>
    <w:multiLevelType w:val="hybridMultilevel"/>
    <w:tmpl w:val="CA0828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687"/>
    <w:multiLevelType w:val="hybridMultilevel"/>
    <w:tmpl w:val="7B9210D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561EF2"/>
    <w:multiLevelType w:val="hybridMultilevel"/>
    <w:tmpl w:val="CF3E02FE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60A1476"/>
    <w:multiLevelType w:val="hybridMultilevel"/>
    <w:tmpl w:val="7A8E40B0"/>
    <w:lvl w:ilvl="0" w:tplc="E3A26DA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342D0A"/>
    <w:multiLevelType w:val="hybridMultilevel"/>
    <w:tmpl w:val="479C8F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C2744A"/>
    <w:multiLevelType w:val="hybridMultilevel"/>
    <w:tmpl w:val="F8824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D19D9"/>
    <w:multiLevelType w:val="hybridMultilevel"/>
    <w:tmpl w:val="902A000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A36783D"/>
    <w:multiLevelType w:val="hybridMultilevel"/>
    <w:tmpl w:val="F8FC9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01A25"/>
    <w:multiLevelType w:val="hybridMultilevel"/>
    <w:tmpl w:val="A60EE2B4"/>
    <w:lvl w:ilvl="0" w:tplc="9FA064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3BA6651"/>
    <w:multiLevelType w:val="hybridMultilevel"/>
    <w:tmpl w:val="5E6E1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40D83"/>
    <w:multiLevelType w:val="hybridMultilevel"/>
    <w:tmpl w:val="8DE626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40801B3"/>
    <w:multiLevelType w:val="hybridMultilevel"/>
    <w:tmpl w:val="B5EEF0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1672D0"/>
    <w:multiLevelType w:val="hybridMultilevel"/>
    <w:tmpl w:val="47CA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94AE7"/>
    <w:multiLevelType w:val="hybridMultilevel"/>
    <w:tmpl w:val="8B1E73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C2162D"/>
    <w:multiLevelType w:val="hybridMultilevel"/>
    <w:tmpl w:val="32D44D2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79"/>
    <w:rsid w:val="000A5090"/>
    <w:rsid w:val="000F1096"/>
    <w:rsid w:val="00137FD2"/>
    <w:rsid w:val="00275379"/>
    <w:rsid w:val="002E21A7"/>
    <w:rsid w:val="002F72B2"/>
    <w:rsid w:val="0030313E"/>
    <w:rsid w:val="003F7B89"/>
    <w:rsid w:val="00410201"/>
    <w:rsid w:val="00433BC1"/>
    <w:rsid w:val="004664E7"/>
    <w:rsid w:val="00473564"/>
    <w:rsid w:val="004A155A"/>
    <w:rsid w:val="004A4010"/>
    <w:rsid w:val="00512E87"/>
    <w:rsid w:val="00525904"/>
    <w:rsid w:val="00526452"/>
    <w:rsid w:val="00584F56"/>
    <w:rsid w:val="00625D3B"/>
    <w:rsid w:val="00667361"/>
    <w:rsid w:val="00743D65"/>
    <w:rsid w:val="007555F4"/>
    <w:rsid w:val="00774532"/>
    <w:rsid w:val="00792FE8"/>
    <w:rsid w:val="007A3AF5"/>
    <w:rsid w:val="007F09CD"/>
    <w:rsid w:val="00811917"/>
    <w:rsid w:val="00974CBF"/>
    <w:rsid w:val="00976229"/>
    <w:rsid w:val="009F55F0"/>
    <w:rsid w:val="00A8164B"/>
    <w:rsid w:val="00AB36DC"/>
    <w:rsid w:val="00B25441"/>
    <w:rsid w:val="00B53855"/>
    <w:rsid w:val="00B8350F"/>
    <w:rsid w:val="00BE7391"/>
    <w:rsid w:val="00C5041E"/>
    <w:rsid w:val="00C83AFF"/>
    <w:rsid w:val="00CD1E69"/>
    <w:rsid w:val="00CF37AF"/>
    <w:rsid w:val="00CF3FC3"/>
    <w:rsid w:val="00D16703"/>
    <w:rsid w:val="00EC140D"/>
    <w:rsid w:val="00F25842"/>
    <w:rsid w:val="00F67E40"/>
    <w:rsid w:val="00F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79"/>
  </w:style>
  <w:style w:type="paragraph" w:styleId="Footer">
    <w:name w:val="footer"/>
    <w:basedOn w:val="Normal"/>
    <w:link w:val="Foot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79"/>
  </w:style>
  <w:style w:type="table" w:customStyle="1" w:styleId="TableGrid1">
    <w:name w:val="Table Grid1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4E7"/>
    <w:pPr>
      <w:ind w:left="720"/>
      <w:contextualSpacing/>
    </w:pPr>
  </w:style>
  <w:style w:type="paragraph" w:customStyle="1" w:styleId="Noparagraphstyle">
    <w:name w:val="[No paragraph style]"/>
    <w:rsid w:val="004664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4664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4664E7"/>
    <w:rPr>
      <w:rFonts w:ascii="Courier New" w:eastAsia="Times New Roman" w:hAnsi="Courier New" w:cs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79"/>
  </w:style>
  <w:style w:type="paragraph" w:styleId="Footer">
    <w:name w:val="footer"/>
    <w:basedOn w:val="Normal"/>
    <w:link w:val="FooterChar"/>
    <w:uiPriority w:val="99"/>
    <w:unhideWhenUsed/>
    <w:rsid w:val="0027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79"/>
  </w:style>
  <w:style w:type="table" w:customStyle="1" w:styleId="TableGrid1">
    <w:name w:val="Table Grid1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4E7"/>
    <w:pPr>
      <w:ind w:left="720"/>
      <w:contextualSpacing/>
    </w:pPr>
  </w:style>
  <w:style w:type="paragraph" w:customStyle="1" w:styleId="Noparagraphstyle">
    <w:name w:val="[No paragraph style]"/>
    <w:rsid w:val="004664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4664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4664E7"/>
    <w:rPr>
      <w:rFonts w:ascii="Courier New" w:eastAsia="Times New Roman" w:hAnsi="Courier New" w:cs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rsid w:val="0046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31D5-38DF-4F76-90CB-08EF38CC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39323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</dc:creator>
  <cp:keywords/>
  <dc:description/>
  <cp:lastModifiedBy>Sociolog</cp:lastModifiedBy>
  <cp:revision>2</cp:revision>
  <cp:lastPrinted>2018-03-19T10:39:00Z</cp:lastPrinted>
  <dcterms:created xsi:type="dcterms:W3CDTF">2018-03-19T10:44:00Z</dcterms:created>
  <dcterms:modified xsi:type="dcterms:W3CDTF">2018-03-19T10:44:00Z</dcterms:modified>
</cp:coreProperties>
</file>